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6C1" w:rsidRDefault="00F36D8F">
      <w:pPr>
        <w:pStyle w:val="Standard"/>
        <w:spacing w:line="244" w:lineRule="exact"/>
        <w:rPr>
          <w:rFonts w:ascii="Arial, Helvetica" w:eastAsia="Arial, Helvetica" w:hAnsi="Arial, Helvetica" w:cs="Arial, Helvetica"/>
          <w:caps/>
        </w:rPr>
      </w:pPr>
      <w:r>
        <w:rPr>
          <w:rFonts w:ascii="Arial, Helvetica" w:eastAsia="Arial, Helvetica" w:hAnsi="Arial, Helvetica" w:cs="Arial, Helvetica"/>
          <w:caps/>
        </w:rPr>
        <w:t>Comarca de Porto Alegre</w:t>
      </w:r>
    </w:p>
    <w:p w:rsidR="001706C1" w:rsidRDefault="00F36D8F">
      <w:pPr>
        <w:pStyle w:val="Standard"/>
        <w:rPr>
          <w:rFonts w:ascii="Arial, Helvetica" w:eastAsia="Arial, Helvetica" w:hAnsi="Arial, Helvetica" w:cs="Arial, Helvetica"/>
          <w:caps/>
        </w:rPr>
      </w:pPr>
      <w:r>
        <w:rPr>
          <w:rFonts w:ascii="Arial, Helvetica" w:eastAsia="Arial, Helvetica" w:hAnsi="Arial, Helvetica" w:cs="Arial, Helvetica"/>
          <w:caps/>
        </w:rPr>
        <w:t xml:space="preserve">Vara de Direito Empresarial, Recuperação de Empresas e </w:t>
      </w:r>
      <w:proofErr w:type="gramStart"/>
      <w:r>
        <w:rPr>
          <w:rFonts w:ascii="Arial, Helvetica" w:eastAsia="Arial, Helvetica" w:hAnsi="Arial, Helvetica" w:cs="Arial, Helvetica"/>
          <w:caps/>
        </w:rPr>
        <w:t>Falências</w:t>
      </w:r>
      <w:proofErr w:type="gramEnd"/>
    </w:p>
    <w:p w:rsidR="001706C1" w:rsidRDefault="00F36D8F">
      <w:pPr>
        <w:pStyle w:val="Standard"/>
        <w:rPr>
          <w:rFonts w:ascii="Arial, Helvetica" w:eastAsia="Arial, Helvetica" w:hAnsi="Arial, Helvetica" w:cs="Arial, Helvetica"/>
        </w:rPr>
      </w:pPr>
      <w:r>
        <w:rPr>
          <w:rFonts w:ascii="Arial, Helvetica" w:eastAsia="Arial, Helvetica" w:hAnsi="Arial, Helvetica" w:cs="Arial, Helvetica"/>
        </w:rPr>
        <w:t xml:space="preserve">Rua </w:t>
      </w:r>
      <w:proofErr w:type="spellStart"/>
      <w:r>
        <w:rPr>
          <w:rFonts w:ascii="Arial, Helvetica" w:eastAsia="Arial, Helvetica" w:hAnsi="Arial, Helvetica" w:cs="Arial, Helvetica"/>
        </w:rPr>
        <w:t>Manoelito</w:t>
      </w:r>
      <w:proofErr w:type="spellEnd"/>
      <w:r>
        <w:rPr>
          <w:rFonts w:ascii="Arial, Helvetica" w:eastAsia="Arial, Helvetica" w:hAnsi="Arial, Helvetica" w:cs="Arial, Helvetica"/>
        </w:rPr>
        <w:t xml:space="preserve"> de </w:t>
      </w:r>
      <w:proofErr w:type="spellStart"/>
      <w:r>
        <w:rPr>
          <w:rFonts w:ascii="Arial, Helvetica" w:eastAsia="Arial, Helvetica" w:hAnsi="Arial, Helvetica" w:cs="Arial, Helvetica"/>
        </w:rPr>
        <w:t>Ornellas</w:t>
      </w:r>
      <w:proofErr w:type="spellEnd"/>
      <w:r>
        <w:rPr>
          <w:rFonts w:ascii="Arial, Helvetica" w:eastAsia="Arial, Helvetica" w:hAnsi="Arial, Helvetica" w:cs="Arial, Helvetica"/>
        </w:rPr>
        <w:t xml:space="preserve">, </w:t>
      </w:r>
      <w:proofErr w:type="gramStart"/>
      <w:r>
        <w:rPr>
          <w:rFonts w:ascii="Arial, Helvetica" w:eastAsia="Arial, Helvetica" w:hAnsi="Arial, Helvetica" w:cs="Arial, Helvetica"/>
        </w:rPr>
        <w:t>50</w:t>
      </w:r>
      <w:proofErr w:type="gramEnd"/>
    </w:p>
    <w:p w:rsidR="001706C1" w:rsidRDefault="00F36D8F">
      <w:pPr>
        <w:pStyle w:val="Standard"/>
        <w:rPr>
          <w:rFonts w:ascii="Arial, Helvetica" w:eastAsia="Arial, Helvetica" w:hAnsi="Arial, Helvetica" w:cs="Arial, Helvetica"/>
        </w:rPr>
      </w:pPr>
      <w:r>
        <w:rPr>
          <w:rFonts w:ascii="Arial, Helvetica" w:eastAsia="Arial, Helvetica" w:hAnsi="Arial, Helvetica" w:cs="Arial, Helvetica"/>
        </w:rPr>
        <w:t>_________________________________________________________________________</w:t>
      </w:r>
    </w:p>
    <w:p w:rsidR="001706C1" w:rsidRDefault="001706C1">
      <w:pPr>
        <w:pStyle w:val="Standard"/>
        <w:rPr>
          <w:rFonts w:ascii="Arial, Helvetica" w:eastAsia="Arial, Helvetica" w:hAnsi="Arial, Helvetica" w:cs="Arial, Helvetica"/>
        </w:rPr>
      </w:pPr>
    </w:p>
    <w:tbl>
      <w:tblPr>
        <w:tblW w:w="8290" w:type="dxa"/>
        <w:tblInd w:w="-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53"/>
        <w:gridCol w:w="6237"/>
      </w:tblGrid>
      <w:tr w:rsidR="001706C1" w:rsidTr="001706C1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Processo nº:</w:t>
            </w:r>
            <w:proofErr w:type="gramStart"/>
            <w:r>
              <w:rPr>
                <w:rFonts w:ascii="Arial, Helvetica" w:eastAsia="Arial, Helvetica" w:hAnsi="Arial, Helvetica" w:cs="Arial, Helvetica"/>
                <w:b/>
                <w:bCs/>
              </w:rPr>
              <w:t xml:space="preserve">  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001/1.12.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>0095339-9 (CNJ:.0124772-56.2012.8.21.0001)</w:t>
            </w:r>
          </w:p>
        </w:tc>
      </w:tr>
      <w:tr w:rsidR="001706C1" w:rsidTr="001706C1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Natureza: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Recuperação de Empresa</w:t>
            </w:r>
          </w:p>
        </w:tc>
      </w:tr>
      <w:tr w:rsidR="001706C1" w:rsidTr="001706C1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Autor: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proofErr w:type="gramStart"/>
            <w:r>
              <w:rPr>
                <w:rFonts w:ascii="Arial, Helvetica" w:eastAsia="Arial, Helvetica" w:hAnsi="Arial, Helvetica" w:cs="Arial, Helvetica"/>
              </w:rPr>
              <w:t>Padaria Listo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 xml:space="preserve">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proofErr w:type="spellStart"/>
            <w:r>
              <w:rPr>
                <w:rFonts w:ascii="Arial, Helvetica" w:eastAsia="Arial, Helvetica" w:hAnsi="Arial, Helvetica" w:cs="Arial, Helvetica"/>
              </w:rPr>
              <w:t>Supermix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Comércio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Pão e Bistrô </w:t>
            </w:r>
            <w:r>
              <w:rPr>
                <w:rFonts w:ascii="Arial, Helvetica" w:eastAsia="Arial, Helvetica" w:hAnsi="Arial, Helvetica" w:cs="Arial, Helvetica"/>
              </w:rPr>
              <w:t xml:space="preserve">Comércio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Porto Brasil Indústria e Comércio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after="200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Pães e Sabores Comércio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- ME</w:t>
            </w:r>
          </w:p>
        </w:tc>
      </w:tr>
      <w:tr w:rsidR="001706C1" w:rsidTr="001706C1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Réu: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proofErr w:type="gramStart"/>
            <w:r>
              <w:rPr>
                <w:rFonts w:ascii="Arial, Helvetica" w:eastAsia="Arial, Helvetica" w:hAnsi="Arial, Helvetica" w:cs="Arial, Helvetica"/>
              </w:rPr>
              <w:t>Padaria Listo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 xml:space="preserve">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proofErr w:type="spellStart"/>
            <w:r>
              <w:rPr>
                <w:rFonts w:ascii="Arial, Helvetica" w:eastAsia="Arial, Helvetica" w:hAnsi="Arial, Helvetica" w:cs="Arial, Helvetica"/>
              </w:rPr>
              <w:t>Supermix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Comercio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Pão e Bistrô Comércio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Porto Brasil Indústria e Comé</w:t>
            </w:r>
            <w:r>
              <w:rPr>
                <w:rFonts w:ascii="Arial, Helvetica" w:eastAsia="Arial, Helvetica" w:hAnsi="Arial, Helvetica" w:cs="Arial, Helvetica"/>
              </w:rPr>
              <w:t xml:space="preserve">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  <w:p w:rsidR="001706C1" w:rsidRDefault="00F36D8F">
            <w:pPr>
              <w:pStyle w:val="Standard"/>
              <w:spacing w:after="200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Pães e Sabores Comércio de Alimentos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- ME</w:t>
            </w:r>
          </w:p>
        </w:tc>
      </w:tr>
      <w:tr w:rsidR="001706C1" w:rsidTr="001706C1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Juiz Prolator: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Juíza de Direito - Dra.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Eliziana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da Silveira Perez</w:t>
            </w:r>
          </w:p>
        </w:tc>
      </w:tr>
      <w:tr w:rsidR="001706C1" w:rsidTr="001706C1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Data: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706C1" w:rsidRDefault="00F36D8F">
            <w:pPr>
              <w:pStyle w:val="Standard"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22/05/2015</w:t>
            </w:r>
          </w:p>
        </w:tc>
      </w:tr>
    </w:tbl>
    <w:p w:rsidR="001706C1" w:rsidRDefault="00F36D8F">
      <w:pPr>
        <w:pStyle w:val="Standard"/>
        <w:spacing w:before="6" w:after="6"/>
        <w:ind w:firstLine="1843"/>
        <w:jc w:val="both"/>
        <w:rPr>
          <w:rFonts w:ascii="Arial, Helvetica" w:eastAsia="Arial, Helvetica" w:hAnsi="Arial, Helvetica" w:cs="Arial, Helvetica"/>
        </w:rPr>
      </w:pPr>
      <w:bookmarkStart w:id="0" w:name="IND_TEXTOSENTENCA_INICIO"/>
      <w:bookmarkEnd w:id="0"/>
      <w:r>
        <w:rPr>
          <w:rFonts w:ascii="Arial, Helvetica" w:eastAsia="Arial, Helvetica" w:hAnsi="Arial, Helvetica" w:cs="Arial, Helvetica"/>
        </w:rPr>
        <w:t xml:space="preserve"> </w:t>
      </w:r>
    </w:p>
    <w:p w:rsidR="001706C1" w:rsidRDefault="00F36D8F">
      <w:pPr>
        <w:pStyle w:val="Standard"/>
        <w:spacing w:before="6" w:after="6"/>
        <w:ind w:firstLine="1843"/>
        <w:jc w:val="both"/>
        <w:rPr>
          <w:rFonts w:eastAsia="Ecofont Vera Sans" w:cs="Ecofont Vera Sans"/>
          <w:sz w:val="23"/>
          <w:szCs w:val="23"/>
        </w:rPr>
      </w:pPr>
      <w:bookmarkStart w:id="1" w:name="IND_TEXTOSENTENCA_INICIO1"/>
      <w:bookmarkEnd w:id="1"/>
      <w:r>
        <w:rPr>
          <w:rFonts w:eastAsia="Ecofont Vera Sans" w:cs="Ecofont Vera Sans"/>
          <w:sz w:val="23"/>
          <w:szCs w:val="23"/>
        </w:rPr>
        <w:t>Vistos.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Trata-se de pedido de recuperação judicial requerido por </w:t>
      </w:r>
      <w:r>
        <w:rPr>
          <w:b/>
          <w:bCs/>
          <w:sz w:val="23"/>
          <w:szCs w:val="23"/>
        </w:rPr>
        <w:t xml:space="preserve">PADARIA LISTO LTDA., </w:t>
      </w:r>
      <w:proofErr w:type="spellStart"/>
      <w:r>
        <w:rPr>
          <w:b/>
          <w:bCs/>
          <w:sz w:val="23"/>
          <w:szCs w:val="23"/>
        </w:rPr>
        <w:t>SUPERMIX</w:t>
      </w:r>
      <w:proofErr w:type="spellEnd"/>
      <w:r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COMÉRCIO DE ALIMENTOS LTDA., PÃO E BISTRÔ COMÉRCIO DE ALIMENTOS LTDA., PORTO BRASIL INDÚSTRIA E COMÉRCIO DE ALIMENTOS LTDA. </w:t>
      </w:r>
      <w:r>
        <w:rPr>
          <w:sz w:val="23"/>
          <w:szCs w:val="23"/>
        </w:rPr>
        <w:t xml:space="preserve">e </w:t>
      </w:r>
      <w:r>
        <w:rPr>
          <w:b/>
          <w:bCs/>
          <w:sz w:val="23"/>
          <w:szCs w:val="23"/>
        </w:rPr>
        <w:t xml:space="preserve">PÃES E SABORES COMÉRCIO DE ALIMENTOS LTDA. - ME </w:t>
      </w:r>
      <w:r>
        <w:rPr>
          <w:sz w:val="23"/>
          <w:szCs w:val="23"/>
        </w:rPr>
        <w:t>com base no art. 47 e seguintes da Lei 11.101/2005, juntando documentos de forma a</w:t>
      </w:r>
      <w:r>
        <w:rPr>
          <w:sz w:val="23"/>
          <w:szCs w:val="23"/>
        </w:rPr>
        <w:t xml:space="preserve"> justificar sua pretensão.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>Indeferido o requerimento de litisconsórcio ativo às fls. 86/88, decisão esta que foi atacada mediante agravo de instrumento, o qual foi provido pelo Tribunal de Justiça (fls. 92/106, 122 e 757/761).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>O processamento da recuperaç</w:t>
      </w:r>
      <w:r>
        <w:rPr>
          <w:sz w:val="23"/>
          <w:szCs w:val="23"/>
        </w:rPr>
        <w:t>ão das sociedades foi deferido em 19.09.2012 (fls. 782/785), tendo o Administrador Judicial assinado termo de compromisso (fl. 794).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>Publicado o edital do art. 52, §1º, c/c o art. 7º, §1º, da Lei 11.101/05 (fl. 1372).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Apresentado o plano de recuperação às </w:t>
      </w:r>
      <w:r>
        <w:rPr>
          <w:sz w:val="23"/>
          <w:szCs w:val="23"/>
        </w:rPr>
        <w:t>fls. 1423/1481.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>Publicado o edital e aviso do art. 53, parágrafo único, e art. 7º, §2º, da Lei 11.101/05 (fls. 2703/2704), no prazo, houve apresentação de objeções ao plano de recuperação judicial (fls. 2714/2715, 2747, 2781/2782 e 2783/2785).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>Realizada as</w:t>
      </w:r>
      <w:r>
        <w:rPr>
          <w:sz w:val="23"/>
          <w:szCs w:val="23"/>
        </w:rPr>
        <w:t>sembleia geral de credores, o plano foi rejeitado em segunda convocação (fls. 2892/2898).</w:t>
      </w:r>
    </w:p>
    <w:p w:rsidR="001706C1" w:rsidRDefault="00F36D8F">
      <w:pPr>
        <w:pStyle w:val="Standard"/>
        <w:ind w:firstLine="1843"/>
        <w:jc w:val="both"/>
        <w:rPr>
          <w:sz w:val="23"/>
          <w:szCs w:val="23"/>
        </w:rPr>
      </w:pPr>
      <w:r>
        <w:rPr>
          <w:sz w:val="23"/>
          <w:szCs w:val="23"/>
        </w:rPr>
        <w:t>O Ministério Público emitiu parecer às fls. 2941/</w:t>
      </w:r>
      <w:proofErr w:type="gramStart"/>
      <w:r>
        <w:rPr>
          <w:sz w:val="23"/>
          <w:szCs w:val="23"/>
        </w:rPr>
        <w:t>2941v</w:t>
      </w:r>
      <w:proofErr w:type="gramEnd"/>
      <w:r>
        <w:rPr>
          <w:sz w:val="23"/>
          <w:szCs w:val="23"/>
        </w:rPr>
        <w:t xml:space="preserve"> opinando pela convolação em falência, diante da rejeição do plano em assembleia.</w:t>
      </w:r>
    </w:p>
    <w:p w:rsidR="001706C1" w:rsidRDefault="00F36D8F">
      <w:pPr>
        <w:pStyle w:val="Standard"/>
        <w:ind w:firstLine="1843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É O RELATÓRIO.</w:t>
      </w:r>
    </w:p>
    <w:p w:rsidR="001706C1" w:rsidRDefault="00F36D8F">
      <w:pPr>
        <w:pStyle w:val="Standard"/>
        <w:ind w:firstLine="1843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DECIDO.</w:t>
      </w:r>
    </w:p>
    <w:p w:rsidR="001706C1" w:rsidRDefault="00F36D8F">
      <w:pPr>
        <w:pStyle w:val="Standard"/>
        <w:ind w:firstLine="1843"/>
        <w:jc w:val="both"/>
        <w:rPr>
          <w:rFonts w:eastAsia="Arial, Helvetica"/>
          <w:sz w:val="23"/>
          <w:szCs w:val="23"/>
        </w:rPr>
      </w:pPr>
      <w:bookmarkStart w:id="2" w:name="IND_TEXTOSENTENCA_FIM1"/>
      <w:bookmarkEnd w:id="2"/>
      <w:r>
        <w:rPr>
          <w:rFonts w:eastAsia="Arial, Helvetica"/>
          <w:sz w:val="23"/>
          <w:szCs w:val="23"/>
        </w:rPr>
        <w:t xml:space="preserve">Cuida-se de pedido de recuperação judicial das sociedades PADARIA LISTO LTDA., </w:t>
      </w:r>
      <w:proofErr w:type="spellStart"/>
      <w:r>
        <w:rPr>
          <w:rFonts w:eastAsia="Arial, Helvetica"/>
          <w:sz w:val="23"/>
          <w:szCs w:val="23"/>
        </w:rPr>
        <w:t>SUPERMIX</w:t>
      </w:r>
      <w:proofErr w:type="spellEnd"/>
      <w:r>
        <w:rPr>
          <w:rFonts w:eastAsia="Arial, Helvetica"/>
          <w:sz w:val="23"/>
          <w:szCs w:val="23"/>
        </w:rPr>
        <w:t xml:space="preserve"> COMÉRCIO DE ALIMENTOS LTDA., PÃO E BISTRÔ COMÉRCIO DE ALIMENTOS LTDA., PORTO BRASIL INDÚSTRIA E COMÉRCIO DE ALIMENTOS LTDA. e PÃES E SABORES COMÉRCIO DE ALIMENTOS LTDA.</w:t>
      </w:r>
      <w:r>
        <w:rPr>
          <w:rFonts w:eastAsia="Arial, Helvetica"/>
          <w:sz w:val="23"/>
          <w:szCs w:val="23"/>
        </w:rPr>
        <w:t xml:space="preserve"> - ME, do mesmo grupo econômico, </w:t>
      </w:r>
      <w:r>
        <w:rPr>
          <w:rFonts w:eastAsia="Arial, Helvetica"/>
          <w:sz w:val="23"/>
          <w:szCs w:val="23"/>
        </w:rPr>
        <w:t>tendo</w:t>
      </w:r>
      <w:r>
        <w:rPr>
          <w:rFonts w:eastAsia="Arial, Helvetica"/>
          <w:sz w:val="23"/>
          <w:szCs w:val="23"/>
        </w:rPr>
        <w:t xml:space="preserve"> as autoras postulado o benefício prev</w:t>
      </w:r>
      <w:r>
        <w:rPr>
          <w:rFonts w:eastAsia="Arial, Helvetica"/>
          <w:sz w:val="23"/>
          <w:szCs w:val="23"/>
        </w:rPr>
        <w:t xml:space="preserve">isto no art. 47 da Lei 11.101/2005 para os credores referidos na inicial, com débitos no total de </w:t>
      </w:r>
      <w:r>
        <w:rPr>
          <w:rFonts w:eastAsia="Arial, Helvetica"/>
          <w:b/>
          <w:bCs/>
          <w:sz w:val="23"/>
          <w:szCs w:val="23"/>
        </w:rPr>
        <w:t>R$ 7.583.191,71</w:t>
      </w:r>
      <w:r>
        <w:rPr>
          <w:rFonts w:eastAsia="Arial, Helvetica"/>
          <w:sz w:val="23"/>
          <w:szCs w:val="23"/>
        </w:rPr>
        <w:t>, conforme laudo pericial (fl. 2420).</w:t>
      </w:r>
    </w:p>
    <w:p w:rsidR="001706C1" w:rsidRDefault="00F36D8F">
      <w:pPr>
        <w:pStyle w:val="Standard"/>
        <w:ind w:firstLine="1843"/>
        <w:jc w:val="both"/>
        <w:rPr>
          <w:rFonts w:eastAsia="Arial, Helvetica"/>
          <w:sz w:val="23"/>
          <w:szCs w:val="23"/>
        </w:rPr>
      </w:pPr>
      <w:r>
        <w:rPr>
          <w:rFonts w:eastAsia="Arial, Helvetica"/>
          <w:sz w:val="23"/>
          <w:szCs w:val="23"/>
        </w:rPr>
        <w:t>Realizada assembleia geral de</w:t>
      </w:r>
      <w:r>
        <w:rPr>
          <w:rFonts w:eastAsia="Arial, Helvetica"/>
          <w:sz w:val="23"/>
          <w:szCs w:val="23"/>
        </w:rPr>
        <w:t xml:space="preserve"> credores, em segunda convocação, o plano de recuperação apresentado foi rejeitado pelos credores presentes, como se constata da ata juntada às fls. 2893/2894.</w:t>
      </w:r>
    </w:p>
    <w:p w:rsidR="001706C1" w:rsidRDefault="00F36D8F">
      <w:pPr>
        <w:pStyle w:val="Standard"/>
        <w:ind w:firstLine="1843"/>
        <w:jc w:val="both"/>
        <w:rPr>
          <w:rFonts w:eastAsia="Arial, Helvetica"/>
          <w:sz w:val="23"/>
          <w:szCs w:val="23"/>
        </w:rPr>
      </w:pPr>
      <w:r>
        <w:rPr>
          <w:rFonts w:eastAsia="Arial, Helvetica"/>
          <w:sz w:val="23"/>
          <w:szCs w:val="23"/>
        </w:rPr>
        <w:t>Desta forma, não tendo o plano sido aprovado, a convolação em falência é</w:t>
      </w:r>
      <w:r>
        <w:rPr>
          <w:rFonts w:eastAsia="Arial, Helvetica"/>
          <w:sz w:val="23"/>
          <w:szCs w:val="23"/>
        </w:rPr>
        <w:t xml:space="preserve"> medida que se impõe, co</w:t>
      </w:r>
      <w:r>
        <w:rPr>
          <w:rFonts w:eastAsia="Arial, Helvetica"/>
          <w:sz w:val="23"/>
          <w:szCs w:val="23"/>
        </w:rPr>
        <w:t>nsoante o art. 56, §4º, da Lei 11.101/05</w:t>
      </w:r>
      <w:r w:rsidRPr="001706C1">
        <w:rPr>
          <w:rStyle w:val="Refdenotaderodap"/>
          <w:rFonts w:eastAsia="Arial, Helvetica"/>
          <w:sz w:val="23"/>
          <w:szCs w:val="23"/>
        </w:rPr>
        <w:footnoteReference w:id="1"/>
      </w:r>
      <w:r>
        <w:rPr>
          <w:rFonts w:eastAsia="Arial, Helvetica"/>
          <w:sz w:val="23"/>
          <w:szCs w:val="23"/>
        </w:rPr>
        <w:t>.</w:t>
      </w:r>
    </w:p>
    <w:p w:rsidR="001706C1" w:rsidRDefault="00F36D8F">
      <w:pPr>
        <w:pStyle w:val="Standard"/>
        <w:ind w:firstLine="1843"/>
        <w:jc w:val="both"/>
        <w:rPr>
          <w:rFonts w:eastAsia="Arial, Helvetica"/>
          <w:sz w:val="23"/>
          <w:szCs w:val="23"/>
        </w:rPr>
      </w:pPr>
      <w:r>
        <w:rPr>
          <w:rFonts w:eastAsia="Arial, Helvetica"/>
          <w:sz w:val="23"/>
          <w:szCs w:val="23"/>
        </w:rPr>
        <w:t xml:space="preserve">Quanto ao pedido </w:t>
      </w:r>
      <w:proofErr w:type="gramStart"/>
      <w:r>
        <w:rPr>
          <w:rFonts w:eastAsia="Arial, Helvetica"/>
          <w:sz w:val="23"/>
          <w:szCs w:val="23"/>
        </w:rPr>
        <w:t>da Administrador</w:t>
      </w:r>
      <w:proofErr w:type="gramEnd"/>
      <w:r>
        <w:rPr>
          <w:rFonts w:eastAsia="Arial, Helvetica"/>
          <w:sz w:val="23"/>
          <w:szCs w:val="23"/>
        </w:rPr>
        <w:t xml:space="preserve"> referente à continuação da atividade (fl. 2945), diante do tempo decorrido, mostra-se não mais necessária, uma vez que os alimentos perecíveis po</w:t>
      </w:r>
      <w:r>
        <w:rPr>
          <w:rFonts w:eastAsia="Arial, Helvetica"/>
          <w:sz w:val="23"/>
          <w:szCs w:val="23"/>
        </w:rPr>
        <w:t>derão ser alienados pelo Leiloeiro, sendo mais benéfico à Massa Falida, neste momento, a arrecadação de todos os bens da sociedade, a fim de preservar os interesses dos credores. Considerando a existência de bens perecíveis, desde logo, autorizo a venda an</w:t>
      </w:r>
      <w:r>
        <w:rPr>
          <w:rFonts w:eastAsia="Arial, Helvetica"/>
          <w:sz w:val="23"/>
          <w:szCs w:val="23"/>
        </w:rPr>
        <w:t>tecipada, tão-logo seja realizada a arrecadação.</w:t>
      </w:r>
    </w:p>
    <w:p w:rsidR="001706C1" w:rsidRDefault="00F36D8F">
      <w:pPr>
        <w:pStyle w:val="Standard"/>
        <w:ind w:firstLine="1843"/>
        <w:jc w:val="both"/>
        <w:rPr>
          <w:rFonts w:eastAsia="Arial, Helvetica"/>
          <w:sz w:val="23"/>
          <w:szCs w:val="23"/>
          <w:shd w:val="clear" w:color="auto" w:fill="FFFF99"/>
        </w:rPr>
      </w:pPr>
      <w:r>
        <w:rPr>
          <w:rFonts w:eastAsia="Arial, Helvetica"/>
          <w:sz w:val="23"/>
          <w:szCs w:val="23"/>
        </w:rPr>
        <w:t>Quanto aos honorários do Perito referente ao procedimento</w:t>
      </w:r>
      <w:r>
        <w:rPr>
          <w:rFonts w:eastAsia="Arial, Helvetica"/>
          <w:sz w:val="23"/>
          <w:szCs w:val="23"/>
          <w:shd w:val="clear" w:color="auto" w:fill="FFFF99"/>
        </w:rPr>
        <w:t xml:space="preserve"> </w:t>
      </w:r>
      <w:r>
        <w:rPr>
          <w:rFonts w:eastAsia="Arial, Helvetica"/>
          <w:sz w:val="23"/>
          <w:szCs w:val="23"/>
        </w:rPr>
        <w:t>de recuperação, deverá ser informado e comprovado o valor recebido e o ainda devido, se for o caso.</w:t>
      </w:r>
    </w:p>
    <w:p w:rsidR="001706C1" w:rsidRDefault="00F36D8F">
      <w:pPr>
        <w:pStyle w:val="Standard"/>
        <w:ind w:firstLine="1830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 xml:space="preserve">PELO EXPOSTO, </w:t>
      </w:r>
      <w:r>
        <w:rPr>
          <w:rFonts w:cs="Arial"/>
          <w:b/>
          <w:bCs/>
          <w:sz w:val="23"/>
          <w:szCs w:val="23"/>
        </w:rPr>
        <w:t>DECRETO A F</w:t>
      </w:r>
      <w:r>
        <w:rPr>
          <w:rFonts w:cs="Arial"/>
          <w:b/>
          <w:sz w:val="23"/>
          <w:szCs w:val="23"/>
        </w:rPr>
        <w:t xml:space="preserve">ALÊNCIA </w:t>
      </w:r>
      <w:r>
        <w:rPr>
          <w:rFonts w:cs="Arial"/>
          <w:sz w:val="23"/>
          <w:szCs w:val="23"/>
        </w:rPr>
        <w:t xml:space="preserve">das sociedades </w:t>
      </w:r>
      <w:r>
        <w:rPr>
          <w:rFonts w:cs="Arial"/>
          <w:sz w:val="23"/>
          <w:szCs w:val="23"/>
        </w:rPr>
        <w:t xml:space="preserve">empresárias </w:t>
      </w:r>
      <w:proofErr w:type="gramStart"/>
      <w:r>
        <w:rPr>
          <w:rFonts w:eastAsia="Arial, Helvetica"/>
          <w:b/>
          <w:bCs/>
          <w:sz w:val="23"/>
          <w:szCs w:val="23"/>
        </w:rPr>
        <w:t>PADARIA LISTO</w:t>
      </w:r>
      <w:proofErr w:type="gramEnd"/>
      <w:r>
        <w:rPr>
          <w:rFonts w:eastAsia="Arial, Helvetica"/>
          <w:b/>
          <w:bCs/>
          <w:sz w:val="23"/>
          <w:szCs w:val="23"/>
        </w:rPr>
        <w:t xml:space="preserve"> LTDA., </w:t>
      </w:r>
      <w:proofErr w:type="spellStart"/>
      <w:r>
        <w:rPr>
          <w:rFonts w:eastAsia="Arial, Helvetica"/>
          <w:b/>
          <w:bCs/>
          <w:sz w:val="23"/>
          <w:szCs w:val="23"/>
        </w:rPr>
        <w:t>SUPERMIX</w:t>
      </w:r>
      <w:proofErr w:type="spellEnd"/>
      <w:r>
        <w:rPr>
          <w:rFonts w:eastAsia="Arial, Helvetica"/>
          <w:b/>
          <w:bCs/>
          <w:sz w:val="23"/>
          <w:szCs w:val="23"/>
        </w:rPr>
        <w:t xml:space="preserve"> COMÉRCIO DE ALIMENTOS LTDA., PÃO E BISTRÔ COMÉRCIO DE ALIMENTOS LTDA., PORTO BRASIL INDÚSTRIA E COMÉRCIO DE ALIMENTOS LTDA.</w:t>
      </w:r>
      <w:r>
        <w:rPr>
          <w:rFonts w:eastAsia="Arial, Helvetica"/>
          <w:sz w:val="23"/>
          <w:szCs w:val="23"/>
        </w:rPr>
        <w:t xml:space="preserve"> e </w:t>
      </w:r>
      <w:r>
        <w:rPr>
          <w:rFonts w:eastAsia="Arial, Helvetica"/>
          <w:b/>
          <w:bCs/>
          <w:sz w:val="23"/>
          <w:szCs w:val="23"/>
        </w:rPr>
        <w:t>PÃES E SABORES COMÉRCIO DE ALIMENTOS LTDA. - ME</w:t>
      </w:r>
      <w:r>
        <w:rPr>
          <w:b/>
          <w:bCs/>
          <w:sz w:val="23"/>
          <w:szCs w:val="23"/>
        </w:rPr>
        <w:t>,</w:t>
      </w:r>
      <w:r>
        <w:rPr>
          <w:rFonts w:cs="Arial"/>
          <w:sz w:val="23"/>
          <w:szCs w:val="23"/>
        </w:rPr>
        <w:t xml:space="preserve"> já qualificadas, com fulcro nos art. 73, III e art. 56, §4º, da Lei 11.101/2005, declarando aberta a falência na data de hoje, às 17h30min, e determinando o que segue: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a)</w:t>
      </w:r>
      <w:r>
        <w:rPr>
          <w:rFonts w:cs="Arial"/>
          <w:sz w:val="23"/>
          <w:szCs w:val="23"/>
        </w:rPr>
        <w:t xml:space="preserve"> julgo os balancetes extintos devido ao término da recuperação judicial, os quais dev</w:t>
      </w:r>
      <w:r>
        <w:rPr>
          <w:rFonts w:cs="Arial"/>
          <w:sz w:val="23"/>
          <w:szCs w:val="23"/>
        </w:rPr>
        <w:t>erão ser arquivados com baixa.</w:t>
      </w:r>
    </w:p>
    <w:p w:rsidR="001706C1" w:rsidRDefault="00F36D8F">
      <w:pPr>
        <w:pStyle w:val="Standard"/>
        <w:ind w:firstLine="1860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b) mantenho o Dr. João Medeiros Fernandes Júnior como Administrador Judicial.</w:t>
      </w:r>
    </w:p>
    <w:p w:rsidR="001706C1" w:rsidRDefault="00F36D8F">
      <w:pPr>
        <w:pStyle w:val="Standard"/>
        <w:ind w:firstLine="1845"/>
        <w:jc w:val="both"/>
        <w:rPr>
          <w:sz w:val="23"/>
          <w:szCs w:val="23"/>
        </w:rPr>
      </w:pPr>
      <w:r>
        <w:rPr>
          <w:rFonts w:cs="Arial"/>
          <w:sz w:val="23"/>
          <w:szCs w:val="23"/>
        </w:rPr>
        <w:t xml:space="preserve">c) declaro como </w:t>
      </w:r>
      <w:r>
        <w:rPr>
          <w:rFonts w:cs="Arial"/>
          <w:b/>
          <w:sz w:val="23"/>
          <w:szCs w:val="23"/>
        </w:rPr>
        <w:t>termo legal</w:t>
      </w:r>
      <w:r>
        <w:rPr>
          <w:rFonts w:cs="Arial"/>
          <w:sz w:val="23"/>
          <w:szCs w:val="23"/>
        </w:rPr>
        <w:t xml:space="preserve"> a data </w:t>
      </w:r>
      <w:r>
        <w:rPr>
          <w:rFonts w:cs="Arial"/>
          <w:sz w:val="23"/>
          <w:szCs w:val="23"/>
        </w:rPr>
        <w:t xml:space="preserve">de </w:t>
      </w:r>
      <w:r>
        <w:rPr>
          <w:rFonts w:cs="Arial"/>
          <w:b/>
          <w:bCs/>
          <w:sz w:val="23"/>
          <w:szCs w:val="23"/>
          <w:u w:val="single"/>
        </w:rPr>
        <w:t>28.01.2012</w:t>
      </w:r>
      <w:r>
        <w:rPr>
          <w:rFonts w:cs="Arial"/>
          <w:sz w:val="23"/>
          <w:szCs w:val="23"/>
        </w:rPr>
        <w:t xml:space="preserve"> correspondente ao nonagésimo (90º) dia anterior ao pedido de recuperação (27.04.2012), na forma do</w:t>
      </w:r>
      <w:r>
        <w:rPr>
          <w:rFonts w:cs="Arial"/>
          <w:sz w:val="23"/>
          <w:szCs w:val="23"/>
        </w:rPr>
        <w:t xml:space="preserve"> art. 99, II, da Lei de Falências.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d) intimem-se os sócios da Falida para que cumpram o disposto no art. 99, III, da Lei 11.101/05, no prazo de cinco (05) dias, apresentando a</w:t>
      </w:r>
      <w:r>
        <w:rPr>
          <w:rFonts w:cs="Arial"/>
          <w:sz w:val="23"/>
          <w:szCs w:val="23"/>
        </w:rPr>
        <w:t xml:space="preserve"> relação atualizada de credores, </w:t>
      </w:r>
      <w:r>
        <w:rPr>
          <w:rFonts w:cs="Arial"/>
          <w:sz w:val="23"/>
          <w:szCs w:val="23"/>
        </w:rPr>
        <w:t>bem como para que atendam ao disposto no art. 10</w:t>
      </w:r>
      <w:r>
        <w:rPr>
          <w:rFonts w:cs="Arial"/>
          <w:sz w:val="23"/>
          <w:szCs w:val="23"/>
        </w:rPr>
        <w:t xml:space="preserve">4 do referido diploma legal, sob pena de crime de </w:t>
      </w:r>
      <w:r>
        <w:rPr>
          <w:rFonts w:cs="Arial"/>
          <w:sz w:val="23"/>
          <w:szCs w:val="23"/>
        </w:rPr>
        <w:lastRenderedPageBreak/>
        <w:t xml:space="preserve">desobediência, devendo ser também remetida </w:t>
      </w:r>
      <w:proofErr w:type="gramStart"/>
      <w:r>
        <w:rPr>
          <w:rFonts w:cs="Arial"/>
          <w:sz w:val="23"/>
          <w:szCs w:val="23"/>
        </w:rPr>
        <w:t>a</w:t>
      </w:r>
      <w:proofErr w:type="gramEnd"/>
      <w:r>
        <w:rPr>
          <w:rFonts w:cs="Arial"/>
          <w:sz w:val="23"/>
          <w:szCs w:val="23"/>
        </w:rPr>
        <w:t xml:space="preserve"> relação de credores por </w:t>
      </w:r>
      <w:r>
        <w:rPr>
          <w:rFonts w:cs="Arial"/>
          <w:i/>
          <w:iCs/>
          <w:sz w:val="23"/>
          <w:szCs w:val="23"/>
        </w:rPr>
        <w:t xml:space="preserve">e-mail </w:t>
      </w:r>
      <w:r>
        <w:rPr>
          <w:rFonts w:cs="Arial"/>
          <w:sz w:val="23"/>
          <w:szCs w:val="23"/>
        </w:rPr>
        <w:t>ao Cartório</w:t>
      </w:r>
      <w:r>
        <w:rPr>
          <w:rFonts w:cs="Arial"/>
          <w:sz w:val="23"/>
          <w:szCs w:val="23"/>
        </w:rPr>
        <w:t xml:space="preserve"> no formato de texto.</w:t>
      </w:r>
    </w:p>
    <w:p w:rsidR="001706C1" w:rsidRDefault="00F36D8F">
      <w:pPr>
        <w:pStyle w:val="Standard"/>
        <w:ind w:firstLine="1830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e) fixo o prazo de quinze (15) dias para habilitação dos credores, na forma do artigo 7º, § 1º, c</w:t>
      </w:r>
      <w:r>
        <w:rPr>
          <w:rFonts w:cs="Arial"/>
          <w:sz w:val="23"/>
          <w:szCs w:val="23"/>
        </w:rPr>
        <w:t xml:space="preserve">/c art. 99, IV, ambos da atual Lei de Falências, devendo o Administrador Judicial </w:t>
      </w:r>
      <w:proofErr w:type="gramStart"/>
      <w:r>
        <w:rPr>
          <w:rFonts w:cs="Arial"/>
          <w:sz w:val="23"/>
          <w:szCs w:val="23"/>
        </w:rPr>
        <w:t>apresentar</w:t>
      </w:r>
      <w:proofErr w:type="gramEnd"/>
      <w:r>
        <w:rPr>
          <w:rFonts w:cs="Arial"/>
          <w:sz w:val="23"/>
          <w:szCs w:val="23"/>
        </w:rPr>
        <w:t xml:space="preserve"> a lista de credores para publicação do edital a que alude o §2º do mesmo dispositivo legal. </w:t>
      </w:r>
      <w:r>
        <w:rPr>
          <w:rFonts w:cs="Arial"/>
          <w:sz w:val="23"/>
          <w:szCs w:val="23"/>
          <w:u w:val="single"/>
        </w:rPr>
        <w:t>Deve constar no edital o endereço profissional do Administrador para qu</w:t>
      </w:r>
      <w:r>
        <w:rPr>
          <w:rFonts w:cs="Arial"/>
          <w:sz w:val="23"/>
          <w:szCs w:val="23"/>
          <w:u w:val="single"/>
        </w:rPr>
        <w:t>e os credores lhe apresentem diretamente as divergências no prazo de 15 dias de que trata o art. 7º, §1º, da Lei 11.101/05.</w:t>
      </w:r>
    </w:p>
    <w:p w:rsidR="001706C1" w:rsidRDefault="00F36D8F">
      <w:pPr>
        <w:pStyle w:val="Textbody"/>
        <w:spacing w:after="0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f) suspendam-se as execuções existentes contra as devedoras, inclusive as atinentes aos eventuais sócios solidários porventura exist</w:t>
      </w:r>
      <w:r>
        <w:rPr>
          <w:rFonts w:cs="Arial"/>
          <w:sz w:val="23"/>
          <w:szCs w:val="23"/>
        </w:rPr>
        <w:t xml:space="preserve">entes, exceto as com </w:t>
      </w:r>
      <w:proofErr w:type="gramStart"/>
      <w:r>
        <w:rPr>
          <w:rFonts w:cs="Arial"/>
          <w:sz w:val="23"/>
          <w:szCs w:val="23"/>
        </w:rPr>
        <w:t>datas de licitações já designadas, vindo</w:t>
      </w:r>
      <w:proofErr w:type="gramEnd"/>
      <w:r>
        <w:rPr>
          <w:rFonts w:cs="Arial"/>
          <w:sz w:val="23"/>
          <w:szCs w:val="23"/>
        </w:rPr>
        <w:t xml:space="preserve"> o produto em benefício da massa, ou aquelas onde houve concurso de litisconsortes passivos, que prosseguirão quanto a estes, bem como os executivos fiscais e ações que demandarem por quantias il</w:t>
      </w:r>
      <w:r>
        <w:rPr>
          <w:rFonts w:cs="Arial"/>
          <w:sz w:val="23"/>
          <w:szCs w:val="23"/>
        </w:rPr>
        <w:t>íquidas, atendendo ao disposto no art. 6º c/c o art. 99, V, ambos da Lei 11.101/05.</w:t>
      </w:r>
    </w:p>
    <w:p w:rsidR="001706C1" w:rsidRDefault="00F36D8F">
      <w:pPr>
        <w:pStyle w:val="Standard"/>
        <w:ind w:firstLine="1830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 xml:space="preserve">g) cumpra o </w:t>
      </w:r>
      <w:proofErr w:type="gramStart"/>
      <w:r>
        <w:rPr>
          <w:rFonts w:cs="Arial"/>
          <w:sz w:val="23"/>
          <w:szCs w:val="23"/>
        </w:rPr>
        <w:t>Sr.</w:t>
      </w:r>
      <w:proofErr w:type="gramEnd"/>
      <w:r>
        <w:rPr>
          <w:rFonts w:cs="Arial"/>
          <w:sz w:val="23"/>
          <w:szCs w:val="23"/>
        </w:rPr>
        <w:t xml:space="preserve"> Escrivão as diligências estabelecidas em Lei, em especial as dispostas no art. 99, VIII, X, XIII e parágrafo único, procedendo-se as comunicações e intimaçõ</w:t>
      </w:r>
      <w:r>
        <w:rPr>
          <w:rFonts w:cs="Arial"/>
          <w:sz w:val="23"/>
          <w:szCs w:val="23"/>
        </w:rPr>
        <w:t>es de praxe, bem como oficiando-se às Fazendas Nacional, Estadual e Municipal para que enviem certidões das dívidas eventualmente existentes.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h) ainda, com base no art. 99, VI, da Lei 11.101/05, determino a indisponibilidade dos bens das sócias gerentes d</w:t>
      </w:r>
      <w:r>
        <w:rPr>
          <w:rFonts w:cs="Arial"/>
          <w:sz w:val="23"/>
          <w:szCs w:val="23"/>
        </w:rPr>
        <w:t xml:space="preserve">a demandada pelo prazo de que trata o art. 82, § 1º, do mesmo diploma legal, devendo </w:t>
      </w:r>
      <w:proofErr w:type="gramStart"/>
      <w:r>
        <w:rPr>
          <w:rFonts w:cs="Arial"/>
          <w:sz w:val="23"/>
          <w:szCs w:val="23"/>
        </w:rPr>
        <w:t>serem</w:t>
      </w:r>
      <w:proofErr w:type="gramEnd"/>
      <w:r>
        <w:rPr>
          <w:rFonts w:cs="Arial"/>
          <w:sz w:val="23"/>
          <w:szCs w:val="23"/>
        </w:rPr>
        <w:t xml:space="preserve"> oficiados aos Registros Imobiliários e Departamento de Trânsito para tanto, com base no art. 99, VII, da </w:t>
      </w:r>
      <w:proofErr w:type="spellStart"/>
      <w:r>
        <w:rPr>
          <w:rFonts w:cs="Arial"/>
          <w:sz w:val="23"/>
          <w:szCs w:val="23"/>
        </w:rPr>
        <w:t>LR</w:t>
      </w:r>
      <w:r>
        <w:rPr>
          <w:rFonts w:cs="Arial"/>
          <w:sz w:val="23"/>
          <w:szCs w:val="23"/>
        </w:rPr>
        <w:t>F</w:t>
      </w:r>
      <w:proofErr w:type="spellEnd"/>
      <w:r>
        <w:rPr>
          <w:rFonts w:cs="Arial"/>
          <w:sz w:val="23"/>
          <w:szCs w:val="23"/>
        </w:rPr>
        <w:t>;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i) oficiem-se aos estabelecimentos bancários para que s</w:t>
      </w:r>
      <w:r>
        <w:rPr>
          <w:rFonts w:cs="Arial"/>
          <w:sz w:val="23"/>
          <w:szCs w:val="23"/>
        </w:rPr>
        <w:t>ejam encerradas as contas das demandadas, bem como para que prestem informações quanto aos saldos porventura existentes nas mesmas, na forma do art. 121 da Lei 11.101/05.</w:t>
      </w:r>
    </w:p>
    <w:p w:rsidR="001706C1" w:rsidRDefault="00F36D8F">
      <w:pPr>
        <w:pStyle w:val="Standard"/>
        <w:ind w:firstLine="1830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j) determino a indisponibilidade dos bens dos sócios gerentes ou administradores da d</w:t>
      </w:r>
      <w:r>
        <w:rPr>
          <w:rFonts w:cs="Arial"/>
          <w:sz w:val="23"/>
          <w:szCs w:val="23"/>
        </w:rPr>
        <w:t xml:space="preserve">emandada pelo prazo de que trata o art. 82, § 1º, do mesmo diploma legal, devendo </w:t>
      </w:r>
      <w:proofErr w:type="gramStart"/>
      <w:r>
        <w:rPr>
          <w:rFonts w:cs="Arial"/>
          <w:sz w:val="23"/>
          <w:szCs w:val="23"/>
        </w:rPr>
        <w:t>serem</w:t>
      </w:r>
      <w:proofErr w:type="gramEnd"/>
      <w:r>
        <w:rPr>
          <w:rFonts w:cs="Arial"/>
          <w:sz w:val="23"/>
          <w:szCs w:val="23"/>
        </w:rPr>
        <w:t xml:space="preserve"> oficiados aos Registros Imobiliários e Departamento de Trânsito para tanto, com base no art. 99, VI e VII, da Lei 11.101/05.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k) manten</w:t>
      </w:r>
      <w:r>
        <w:rPr>
          <w:rFonts w:cs="Arial"/>
          <w:sz w:val="23"/>
          <w:szCs w:val="23"/>
        </w:rPr>
        <w:t xml:space="preserve">ho </w:t>
      </w:r>
      <w:proofErr w:type="gramStart"/>
      <w:r>
        <w:rPr>
          <w:rFonts w:cs="Arial"/>
          <w:sz w:val="23"/>
          <w:szCs w:val="23"/>
        </w:rPr>
        <w:t>o Sr. Luciano Santos</w:t>
      </w:r>
      <w:proofErr w:type="gramEnd"/>
      <w:r>
        <w:rPr>
          <w:rFonts w:cs="Arial"/>
          <w:sz w:val="23"/>
          <w:szCs w:val="23"/>
        </w:rPr>
        <w:t xml:space="preserve"> Malta</w:t>
      </w:r>
      <w:r>
        <w:rPr>
          <w:rFonts w:cs="Arial"/>
          <w:sz w:val="23"/>
          <w:szCs w:val="23"/>
        </w:rPr>
        <w:t xml:space="preserve"> como</w:t>
      </w:r>
      <w:r>
        <w:rPr>
          <w:rFonts w:cs="Arial"/>
          <w:sz w:val="23"/>
          <w:szCs w:val="23"/>
        </w:rPr>
        <w:t xml:space="preserve"> Perito Contábil, fixando honorários conforme disposto na Portaria 01/99, a serem pagos na forma do art. 84, I, da Lei 11.101/2005.</w:t>
      </w:r>
      <w:r>
        <w:rPr>
          <w:rFonts w:cs="Arial"/>
          <w:sz w:val="23"/>
          <w:szCs w:val="23"/>
        </w:rPr>
        <w:t xml:space="preserve"> Intime-se para informar e comprovar o pagamento dos seus honorários da fase de recuperação judicial</w:t>
      </w:r>
      <w:proofErr w:type="gramStart"/>
      <w:r>
        <w:rPr>
          <w:rFonts w:cs="Arial"/>
          <w:sz w:val="23"/>
          <w:szCs w:val="23"/>
        </w:rPr>
        <w:t>, se for</w:t>
      </w:r>
      <w:proofErr w:type="gramEnd"/>
      <w:r>
        <w:rPr>
          <w:rFonts w:cs="Arial"/>
          <w:sz w:val="23"/>
          <w:szCs w:val="23"/>
        </w:rPr>
        <w:t xml:space="preserve"> o caso.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eastAsia="Arial, Helvetica"/>
          <w:sz w:val="23"/>
          <w:szCs w:val="23"/>
        </w:rPr>
        <w:t>l) nomei</w:t>
      </w:r>
      <w:r>
        <w:rPr>
          <w:rFonts w:eastAsia="Arial, Helvetica"/>
          <w:sz w:val="23"/>
          <w:szCs w:val="23"/>
        </w:rPr>
        <w:t>o</w:t>
      </w:r>
      <w:r>
        <w:rPr>
          <w:rFonts w:cs="Arial"/>
          <w:sz w:val="23"/>
          <w:szCs w:val="23"/>
        </w:rPr>
        <w:t xml:space="preserve"> Leiloeiro o Sr. </w:t>
      </w:r>
      <w:proofErr w:type="spellStart"/>
      <w:r>
        <w:rPr>
          <w:rFonts w:cs="Arial"/>
          <w:sz w:val="23"/>
          <w:szCs w:val="23"/>
        </w:rPr>
        <w:t>N</w:t>
      </w:r>
      <w:r>
        <w:rPr>
          <w:rFonts w:cs="Arial"/>
          <w:sz w:val="23"/>
          <w:szCs w:val="23"/>
        </w:rPr>
        <w:t>aio</w:t>
      </w:r>
      <w:proofErr w:type="spellEnd"/>
      <w:r>
        <w:rPr>
          <w:rFonts w:cs="Arial"/>
          <w:sz w:val="23"/>
          <w:szCs w:val="23"/>
        </w:rPr>
        <w:t xml:space="preserve"> de Freitas </w:t>
      </w:r>
      <w:proofErr w:type="spellStart"/>
      <w:r>
        <w:rPr>
          <w:rFonts w:cs="Arial"/>
          <w:sz w:val="23"/>
          <w:szCs w:val="23"/>
        </w:rPr>
        <w:t>Raupp</w:t>
      </w:r>
      <w:proofErr w:type="spellEnd"/>
      <w:r>
        <w:rPr>
          <w:rFonts w:cs="Arial"/>
          <w:sz w:val="23"/>
          <w:szCs w:val="23"/>
        </w:rPr>
        <w:t xml:space="preserve"> (naioraupp@terra.com.br)</w:t>
      </w:r>
      <w:r>
        <w:rPr>
          <w:rFonts w:cs="Arial"/>
          <w:sz w:val="23"/>
          <w:szCs w:val="23"/>
        </w:rPr>
        <w:t>, o qual deverá sugerir, após a arrecadação, datas para alienaç</w:t>
      </w:r>
      <w:r>
        <w:rPr>
          <w:rFonts w:cs="Arial"/>
          <w:sz w:val="23"/>
          <w:szCs w:val="23"/>
        </w:rPr>
        <w:t>ão do ativo especialmente os perecíveis, de forma antecipada, nos termos da fundamentação,</w:t>
      </w:r>
      <w:proofErr w:type="gramStart"/>
      <w:r>
        <w:rPr>
          <w:rFonts w:cs="Arial"/>
          <w:sz w:val="23"/>
          <w:szCs w:val="23"/>
        </w:rPr>
        <w:t xml:space="preserve">  </w:t>
      </w:r>
      <w:proofErr w:type="gramEnd"/>
      <w:r>
        <w:rPr>
          <w:rFonts w:cs="Arial"/>
          <w:sz w:val="23"/>
          <w:szCs w:val="23"/>
        </w:rPr>
        <w:t>atendendo o disposto n</w:t>
      </w:r>
      <w:r>
        <w:rPr>
          <w:rFonts w:cs="Arial"/>
          <w:sz w:val="23"/>
          <w:szCs w:val="23"/>
        </w:rPr>
        <w:t>o art. 140 da L</w:t>
      </w:r>
      <w:r>
        <w:rPr>
          <w:rFonts w:cs="Arial"/>
          <w:sz w:val="23"/>
          <w:szCs w:val="23"/>
        </w:rPr>
        <w:t>ei 11.101/05.</w:t>
      </w:r>
    </w:p>
    <w:p w:rsidR="001706C1" w:rsidRDefault="00F36D8F">
      <w:pPr>
        <w:pStyle w:val="Standard"/>
        <w:ind w:firstLine="1845"/>
        <w:jc w:val="both"/>
        <w:rPr>
          <w:rFonts w:cs="Arial"/>
          <w:sz w:val="23"/>
          <w:szCs w:val="23"/>
        </w:rPr>
      </w:pPr>
      <w:r>
        <w:rPr>
          <w:rFonts w:cs="Arial"/>
          <w:sz w:val="23"/>
          <w:szCs w:val="23"/>
        </w:rPr>
        <w:t>m) intime-se pessoalmente a Procuradoria da Fazenda Nacional.</w:t>
      </w:r>
    </w:p>
    <w:p w:rsidR="001706C1" w:rsidRDefault="00F36D8F">
      <w:pPr>
        <w:pStyle w:val="Standard"/>
        <w:ind w:firstLine="1869"/>
        <w:jc w:val="both"/>
        <w:rPr>
          <w:rFonts w:eastAsia="Arial, Helvetica" w:cs="Arial"/>
          <w:sz w:val="23"/>
          <w:szCs w:val="23"/>
        </w:rPr>
      </w:pPr>
      <w:r>
        <w:rPr>
          <w:rFonts w:eastAsia="Arial, Helvetica" w:cs="Arial"/>
          <w:sz w:val="23"/>
          <w:szCs w:val="23"/>
        </w:rPr>
        <w:t>n) o</w:t>
      </w:r>
      <w:r>
        <w:rPr>
          <w:rFonts w:eastAsia="Arial, Helvetica"/>
          <w:sz w:val="23"/>
          <w:szCs w:val="23"/>
        </w:rPr>
        <w:t xml:space="preserve">ficie-se à </w:t>
      </w:r>
      <w:proofErr w:type="spellStart"/>
      <w:r>
        <w:rPr>
          <w:rFonts w:eastAsia="Arial, Helvetica"/>
          <w:sz w:val="23"/>
          <w:szCs w:val="23"/>
        </w:rPr>
        <w:t>CGJ</w:t>
      </w:r>
      <w:proofErr w:type="spellEnd"/>
      <w:r>
        <w:rPr>
          <w:rFonts w:eastAsia="Arial, Helvetica"/>
          <w:sz w:val="23"/>
          <w:szCs w:val="23"/>
        </w:rPr>
        <w:t xml:space="preserve">, adotando o Provimento 20/2009, solicitando providências no sentido de ser comunicado aos Registros </w:t>
      </w:r>
      <w:r>
        <w:rPr>
          <w:rFonts w:eastAsia="Arial, Helvetica"/>
          <w:sz w:val="23"/>
          <w:szCs w:val="23"/>
        </w:rPr>
        <w:lastRenderedPageBreak/>
        <w:t xml:space="preserve">Imobiliários do Estado a decretação da falência das </w:t>
      </w:r>
      <w:r>
        <w:rPr>
          <w:rFonts w:eastAsia="Arial, Helvetica"/>
          <w:sz w:val="23"/>
          <w:szCs w:val="23"/>
        </w:rPr>
        <w:t>sociedades empresárias e a indisponibilidade dos bens dos sócios gerentes ou administradores da requerida, bem como que</w:t>
      </w:r>
      <w:proofErr w:type="gramStart"/>
      <w:r>
        <w:rPr>
          <w:rFonts w:eastAsia="Arial, Helvetica"/>
          <w:sz w:val="23"/>
          <w:szCs w:val="23"/>
        </w:rPr>
        <w:t xml:space="preserve">  </w:t>
      </w:r>
      <w:proofErr w:type="gramEnd"/>
      <w:r>
        <w:rPr>
          <w:rFonts w:eastAsia="Arial, Helvetica"/>
          <w:sz w:val="23"/>
          <w:szCs w:val="23"/>
        </w:rPr>
        <w:t>informem acerca da existência de imóveis.</w:t>
      </w:r>
    </w:p>
    <w:p w:rsidR="001706C1" w:rsidRDefault="00F36D8F">
      <w:pPr>
        <w:pStyle w:val="Standard"/>
        <w:ind w:firstLine="1830"/>
        <w:jc w:val="both"/>
        <w:rPr>
          <w:rFonts w:eastAsia="Arial, Helvetica" w:cs="Arial"/>
          <w:sz w:val="23"/>
          <w:szCs w:val="23"/>
        </w:rPr>
      </w:pPr>
      <w:r>
        <w:rPr>
          <w:rFonts w:eastAsia="Arial, Helvetica" w:cs="Arial"/>
          <w:sz w:val="23"/>
          <w:szCs w:val="23"/>
        </w:rPr>
        <w:t>o) custas na forma do disposto no art. 84, IV, da Lei 11.101/2005.</w:t>
      </w:r>
    </w:p>
    <w:p w:rsidR="001706C1" w:rsidRDefault="00F36D8F">
      <w:pPr>
        <w:pStyle w:val="Standard"/>
        <w:ind w:firstLine="1814"/>
        <w:jc w:val="both"/>
        <w:rPr>
          <w:rFonts w:eastAsia="Arial, Helvetica"/>
          <w:sz w:val="23"/>
          <w:szCs w:val="23"/>
        </w:rPr>
      </w:pPr>
      <w:r>
        <w:rPr>
          <w:rFonts w:eastAsia="Arial, Helvetica"/>
          <w:sz w:val="23"/>
          <w:szCs w:val="23"/>
        </w:rPr>
        <w:t xml:space="preserve">p) responda-se o ofício à </w:t>
      </w:r>
      <w:r>
        <w:rPr>
          <w:rFonts w:eastAsia="Arial, Helvetica"/>
          <w:sz w:val="23"/>
          <w:szCs w:val="23"/>
        </w:rPr>
        <w:t>fl. 2899 informando sobre a convolação em falência, devendo a credora verificar se seu crédito foi arrolado no quadro de credores, sendo que, em caso negativo, deverá proceder com a habilitação do crédito junto a este Juízo.</w:t>
      </w:r>
    </w:p>
    <w:p w:rsidR="001706C1" w:rsidRDefault="00F36D8F">
      <w:pPr>
        <w:pStyle w:val="Standard"/>
        <w:ind w:firstLine="1814"/>
        <w:jc w:val="both"/>
        <w:rPr>
          <w:rFonts w:eastAsia="Arial, Helvetica"/>
          <w:sz w:val="23"/>
          <w:szCs w:val="23"/>
        </w:rPr>
      </w:pPr>
      <w:r>
        <w:rPr>
          <w:rFonts w:eastAsia="Arial, Helvetica"/>
          <w:sz w:val="23"/>
          <w:szCs w:val="23"/>
        </w:rPr>
        <w:t>q) expeçam-se ofícios à 15ª Var</w:t>
      </w:r>
      <w:r>
        <w:rPr>
          <w:rFonts w:eastAsia="Arial, Helvetica"/>
          <w:sz w:val="23"/>
          <w:szCs w:val="23"/>
        </w:rPr>
        <w:t>a do Trabalho de Porto Alegre (fl. 2930) e à 1ª Vara do Trabalho de Gravataí (fls. 2908) informando sobre a quebra das sociedades do grupo (item “f” supra), solicitando a suspensão das medidas executivas referentes ao crédito postulado no Juízo Laboral, um</w:t>
      </w:r>
      <w:r>
        <w:rPr>
          <w:rFonts w:eastAsia="Arial, Helvetica"/>
          <w:sz w:val="23"/>
          <w:szCs w:val="23"/>
        </w:rPr>
        <w:t xml:space="preserve">a vez que todos os bens das sociedades devem ser arrecadados para a Massa Falida para o pagamento de todos credores, observando-se o </w:t>
      </w:r>
      <w:r>
        <w:rPr>
          <w:rFonts w:eastAsia="Arial, Helvetica"/>
          <w:i/>
          <w:iCs/>
          <w:sz w:val="23"/>
          <w:szCs w:val="23"/>
        </w:rPr>
        <w:t xml:space="preserve">par </w:t>
      </w:r>
      <w:proofErr w:type="spellStart"/>
      <w:r>
        <w:rPr>
          <w:rFonts w:eastAsia="Arial, Helvetica"/>
          <w:i/>
          <w:iCs/>
          <w:sz w:val="23"/>
          <w:szCs w:val="23"/>
        </w:rPr>
        <w:t>conditio</w:t>
      </w:r>
      <w:proofErr w:type="spellEnd"/>
      <w:r>
        <w:rPr>
          <w:rFonts w:eastAsia="Arial, Helvetica"/>
          <w:i/>
          <w:iCs/>
          <w:sz w:val="23"/>
          <w:szCs w:val="23"/>
        </w:rPr>
        <w:t xml:space="preserve"> </w:t>
      </w:r>
      <w:proofErr w:type="spellStart"/>
      <w:r>
        <w:rPr>
          <w:rFonts w:eastAsia="Arial, Helvetica"/>
          <w:i/>
          <w:iCs/>
          <w:sz w:val="23"/>
          <w:szCs w:val="23"/>
        </w:rPr>
        <w:t>creditorum</w:t>
      </w:r>
      <w:proofErr w:type="spellEnd"/>
      <w:r>
        <w:rPr>
          <w:rFonts w:eastAsia="Arial, Helvetica"/>
          <w:i/>
          <w:iCs/>
          <w:sz w:val="23"/>
          <w:szCs w:val="23"/>
        </w:rPr>
        <w:t>.</w:t>
      </w:r>
    </w:p>
    <w:p w:rsidR="001706C1" w:rsidRDefault="00F36D8F">
      <w:pPr>
        <w:pStyle w:val="Standard"/>
        <w:ind w:firstLine="1814"/>
        <w:jc w:val="both"/>
        <w:rPr>
          <w:rFonts w:eastAsia="Arial, Helvetica"/>
          <w:sz w:val="23"/>
          <w:szCs w:val="23"/>
        </w:rPr>
      </w:pPr>
      <w:r>
        <w:rPr>
          <w:rFonts w:eastAsia="Arial, Helvetica"/>
          <w:sz w:val="23"/>
          <w:szCs w:val="23"/>
        </w:rPr>
        <w:t>Publique-se. Registre-se. Intimem-se.</w:t>
      </w:r>
    </w:p>
    <w:p w:rsidR="001706C1" w:rsidRDefault="00F36D8F">
      <w:pPr>
        <w:pStyle w:val="Standard"/>
        <w:spacing w:before="57" w:after="85"/>
        <w:ind w:firstLine="1843"/>
        <w:jc w:val="both"/>
        <w:rPr>
          <w:rFonts w:ascii="Arial, Helvetica" w:eastAsia="Arial, Helvetica" w:hAnsi="Arial, Helvetica" w:cs="Arial, Helvetica"/>
          <w:sz w:val="23"/>
          <w:szCs w:val="23"/>
        </w:rPr>
      </w:pPr>
      <w:r>
        <w:rPr>
          <w:rFonts w:ascii="Arial, Helvetica" w:eastAsia="Arial, Helvetica" w:hAnsi="Arial, Helvetica" w:cs="Arial, Helvetica"/>
          <w:sz w:val="23"/>
          <w:szCs w:val="23"/>
        </w:rPr>
        <w:t>Porto Alegre, 22 de maio de 2015.</w:t>
      </w:r>
    </w:p>
    <w:p w:rsidR="001706C1" w:rsidRDefault="001706C1">
      <w:pPr>
        <w:pStyle w:val="Standard"/>
        <w:jc w:val="center"/>
        <w:rPr>
          <w:rFonts w:ascii="Arial, Helvetica" w:eastAsia="Arial, Helvetica" w:hAnsi="Arial, Helvetica" w:cs="Arial, Helvetica"/>
          <w:sz w:val="23"/>
          <w:szCs w:val="23"/>
        </w:rPr>
      </w:pPr>
    </w:p>
    <w:p w:rsidR="001706C1" w:rsidRDefault="00F36D8F">
      <w:pPr>
        <w:pStyle w:val="Standard"/>
        <w:jc w:val="center"/>
        <w:rPr>
          <w:rFonts w:ascii="Arial, Helvetica" w:eastAsia="Arial, Helvetica" w:hAnsi="Arial, Helvetica" w:cs="Arial, Helvetica"/>
          <w:sz w:val="23"/>
          <w:szCs w:val="23"/>
        </w:rPr>
      </w:pPr>
      <w:bookmarkStart w:id="3" w:name="IND_JULGADOR_INICIO"/>
      <w:bookmarkEnd w:id="3"/>
      <w:proofErr w:type="spellStart"/>
      <w:r>
        <w:rPr>
          <w:rFonts w:ascii="Arial, Helvetica" w:eastAsia="Arial, Helvetica" w:hAnsi="Arial, Helvetica" w:cs="Arial, Helvetica"/>
          <w:sz w:val="23"/>
          <w:szCs w:val="23"/>
        </w:rPr>
        <w:t>Eliziana</w:t>
      </w:r>
      <w:proofErr w:type="spellEnd"/>
      <w:r>
        <w:rPr>
          <w:rFonts w:ascii="Arial, Helvetica" w:eastAsia="Arial, Helvetica" w:hAnsi="Arial, Helvetica" w:cs="Arial, Helvetica"/>
          <w:sz w:val="23"/>
          <w:szCs w:val="23"/>
        </w:rPr>
        <w:t xml:space="preserve"> da Silveira Pere</w:t>
      </w:r>
      <w:r>
        <w:rPr>
          <w:rFonts w:ascii="Arial, Helvetica" w:eastAsia="Arial, Helvetica" w:hAnsi="Arial, Helvetica" w:cs="Arial, Helvetica"/>
          <w:sz w:val="23"/>
          <w:szCs w:val="23"/>
        </w:rPr>
        <w:t>z</w:t>
      </w:r>
      <w:bookmarkStart w:id="4" w:name="IND_JULGADOR_FIM"/>
      <w:bookmarkEnd w:id="4"/>
      <w:r>
        <w:rPr>
          <w:rFonts w:ascii="Arial, Helvetica" w:eastAsia="Arial, Helvetica" w:hAnsi="Arial, Helvetica" w:cs="Arial, Helvetica"/>
          <w:sz w:val="23"/>
          <w:szCs w:val="23"/>
        </w:rPr>
        <w:t>,</w:t>
      </w:r>
    </w:p>
    <w:p w:rsidR="001706C1" w:rsidRDefault="00F36D8F">
      <w:pPr>
        <w:pStyle w:val="Standard"/>
        <w:jc w:val="center"/>
        <w:rPr>
          <w:rFonts w:ascii="Arial, Helvetica" w:eastAsia="Arial, Helvetica" w:hAnsi="Arial, Helvetica" w:cs="Arial, Helvetica"/>
          <w:sz w:val="23"/>
          <w:szCs w:val="23"/>
        </w:rPr>
      </w:pPr>
      <w:r>
        <w:rPr>
          <w:rFonts w:ascii="Arial, Helvetica" w:eastAsia="Arial, Helvetica" w:hAnsi="Arial, Helvetica" w:cs="Arial, Helvetica"/>
          <w:sz w:val="23"/>
          <w:szCs w:val="23"/>
        </w:rPr>
        <w:t>Juíza de Direito</w:t>
      </w:r>
    </w:p>
    <w:sectPr w:rsidR="001706C1" w:rsidSect="001706C1">
      <w:headerReference w:type="default" r:id="rId7"/>
      <w:footerReference w:type="default" r:id="rId8"/>
      <w:pgSz w:w="11906" w:h="16838"/>
      <w:pgMar w:top="2223" w:right="1843" w:bottom="2065" w:left="1843" w:header="709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6C1" w:rsidRDefault="001706C1" w:rsidP="001706C1">
      <w:r>
        <w:separator/>
      </w:r>
    </w:p>
  </w:endnote>
  <w:endnote w:type="continuationSeparator" w:id="0">
    <w:p w:rsidR="001706C1" w:rsidRDefault="001706C1" w:rsidP="00170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Ecofont Vera Sans">
    <w:charset w:val="00"/>
    <w:family w:val="swiss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6C1" w:rsidRDefault="001706C1">
    <w:pPr>
      <w:pStyle w:val="Standard"/>
      <w:tabs>
        <w:tab w:val="center" w:pos="4320"/>
        <w:tab w:val="right" w:pos="8640"/>
      </w:tabs>
      <w:jc w:val="right"/>
      <w:rPr>
        <w:color w:val="808080"/>
        <w:sz w:val="24"/>
        <w:szCs w:val="24"/>
      </w:rPr>
    </w:pPr>
  </w:p>
  <w:tbl>
    <w:tblPr>
      <w:tblW w:w="8220" w:type="dxa"/>
      <w:tblInd w:w="-10" w:type="dxa"/>
      <w:tblLayout w:type="fixed"/>
      <w:tblCellMar>
        <w:left w:w="10" w:type="dxa"/>
        <w:right w:w="10" w:type="dxa"/>
      </w:tblCellMar>
      <w:tblLook w:val="04A0"/>
    </w:tblPr>
    <w:tblGrid>
      <w:gridCol w:w="2417"/>
      <w:gridCol w:w="5215"/>
      <w:gridCol w:w="588"/>
    </w:tblGrid>
    <w:tr w:rsidR="001706C1" w:rsidTr="00697D24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632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1706C1" w:rsidRDefault="001706C1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</w:t>
          </w:r>
          <w:bookmarkStart w:id="5" w:name="IND_NUM"/>
          <w:bookmarkEnd w:id="5"/>
        </w:p>
      </w:tc>
      <w:tc>
        <w:tcPr>
          <w:tcW w:w="588" w:type="dxa"/>
          <w:tcMar>
            <w:top w:w="0" w:type="dxa"/>
            <w:left w:w="0" w:type="dxa"/>
            <w:bottom w:w="0" w:type="dxa"/>
            <w:right w:w="0" w:type="dxa"/>
          </w:tcMar>
        </w:tcPr>
        <w:p w:rsidR="001706C1" w:rsidRDefault="001706C1">
          <w:pPr>
            <w:pStyle w:val="Standard"/>
            <w:tabs>
              <w:tab w:val="center" w:pos="4419"/>
              <w:tab w:val="right" w:pos="8838"/>
            </w:tabs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F36D8F">
            <w:rPr>
              <w:noProof/>
              <w:color w:val="999999"/>
              <w:sz w:val="24"/>
              <w:szCs w:val="24"/>
            </w:rPr>
            <w:t>3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1706C1" w:rsidTr="00697D24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417" w:type="dxa"/>
          <w:tcMar>
            <w:top w:w="0" w:type="dxa"/>
            <w:left w:w="0" w:type="dxa"/>
            <w:bottom w:w="0" w:type="dxa"/>
            <w:right w:w="0" w:type="dxa"/>
          </w:tcMar>
        </w:tcPr>
        <w:p w:rsidR="001706C1" w:rsidRDefault="001706C1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</w:t>
          </w:r>
          <w:r>
            <w:rPr>
              <w:rFonts w:ascii="Arial, Helvetica" w:hAnsi="Arial, Helvetica"/>
              <w:color w:val="999999"/>
              <w:sz w:val="22"/>
              <w:szCs w:val="22"/>
            </w:rPr>
            <w:t>64-1-001/2015/1671121</w:t>
          </w:r>
        </w:p>
      </w:tc>
      <w:tc>
        <w:tcPr>
          <w:tcW w:w="58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1706C1" w:rsidRDefault="001706C1">
          <w:pPr>
            <w:pStyle w:val="Standard"/>
            <w:tabs>
              <w:tab w:val="center" w:pos="4419"/>
              <w:tab w:val="right" w:pos="8838"/>
            </w:tabs>
            <w:spacing w:after="200" w:line="276" w:lineRule="auto"/>
            <w:jc w:val="right"/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</w:pPr>
          <w:proofErr w:type="gramStart"/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001/1.12.</w:t>
          </w:r>
          <w:proofErr w:type="gramEnd"/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0095339-9 (CNJ:.0124772-56.2012.8.21.0001)</w:t>
          </w:r>
        </w:p>
      </w:tc>
    </w:tr>
  </w:tbl>
  <w:p w:rsidR="001706C1" w:rsidRDefault="001706C1">
    <w:pPr>
      <w:pStyle w:val="Standar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6C1" w:rsidRDefault="00F36D8F" w:rsidP="001706C1">
      <w:r w:rsidRPr="001706C1">
        <w:rPr>
          <w:color w:val="000000"/>
        </w:rPr>
        <w:separator/>
      </w:r>
    </w:p>
  </w:footnote>
  <w:footnote w:type="continuationSeparator" w:id="0">
    <w:p w:rsidR="001706C1" w:rsidRDefault="001706C1" w:rsidP="001706C1">
      <w:r>
        <w:continuationSeparator/>
      </w:r>
    </w:p>
  </w:footnote>
  <w:footnote w:id="1">
    <w:p w:rsidR="001706C1" w:rsidRDefault="00F36D8F">
      <w:pPr>
        <w:pStyle w:val="Footnote"/>
        <w:jc w:val="both"/>
      </w:pPr>
      <w:r w:rsidRPr="001706C1">
        <w:rPr>
          <w:rStyle w:val="Refdenotaderodap"/>
        </w:rPr>
        <w:footnoteRef/>
      </w:r>
      <w:r>
        <w:t xml:space="preserve">Art. 56. Havendo objeção de qualquer credor ao plano de recuperação judicial, o juiz convocará a </w:t>
      </w:r>
      <w:proofErr w:type="spellStart"/>
      <w:r>
        <w:t>assembléia-geral</w:t>
      </w:r>
      <w:proofErr w:type="spellEnd"/>
      <w:r>
        <w:t xml:space="preserve"> de credores para deliberar sobre o plano de recuperação.</w:t>
      </w:r>
    </w:p>
    <w:p w:rsidR="001706C1" w:rsidRDefault="00F36D8F">
      <w:pPr>
        <w:pStyle w:val="Footnote"/>
        <w:jc w:val="both"/>
      </w:pPr>
      <w:r>
        <w:t xml:space="preserve">     § 4º Rejeitado o plano de recuperação</w:t>
      </w:r>
      <w:r>
        <w:t xml:space="preserve"> pela </w:t>
      </w:r>
      <w:proofErr w:type="spellStart"/>
      <w:r>
        <w:t>assembléia-geral</w:t>
      </w:r>
      <w:proofErr w:type="spellEnd"/>
      <w:r>
        <w:t xml:space="preserve"> de credores, o juiz decretará a falência do devedor.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6C1" w:rsidRDefault="001706C1">
    <w:pPr>
      <w:pStyle w:val="Standard"/>
      <w:tabs>
        <w:tab w:val="center" w:pos="4110"/>
        <w:tab w:val="right" w:pos="8221"/>
      </w:tabs>
      <w:rPr>
        <w:rFonts w:ascii="Arial, Helvetica" w:eastAsia="Arial Unicode MS" w:hAnsi="Arial, Helvetica" w:cs="Tahoma" w:hint="eastAsia"/>
      </w:rPr>
    </w:pPr>
    <w:r>
      <w:rPr>
        <w:rFonts w:ascii="Arial, Helvetica" w:eastAsia="Arial Unicode MS" w:hAnsi="Arial, Helvetica" w:cs="Tahoma"/>
        <w:noProof/>
      </w:rPr>
      <w:drawing>
        <wp:inline distT="0" distB="0" distL="0" distR="0">
          <wp:extent cx="5590440" cy="83808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90440" cy="838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7230A"/>
    <w:multiLevelType w:val="multilevel"/>
    <w:tmpl w:val="D728B53E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06C1"/>
    <w:rsid w:val="001706C1"/>
    <w:rsid w:val="00F36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Lucida Sans Unicode" w:hAnsi="Arial" w:cs="Tahoma"/>
        <w:kern w:val="3"/>
        <w:sz w:val="24"/>
        <w:szCs w:val="24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1706C1"/>
    <w:pPr>
      <w:textAlignment w:val="auto"/>
    </w:pPr>
    <w:rPr>
      <w:rFonts w:cs="Times New Roman"/>
      <w:sz w:val="20"/>
      <w:szCs w:val="20"/>
    </w:rPr>
  </w:style>
  <w:style w:type="paragraph" w:customStyle="1" w:styleId="Textbody">
    <w:name w:val="Text body"/>
    <w:basedOn w:val="Standard"/>
    <w:rsid w:val="001706C1"/>
    <w:pPr>
      <w:spacing w:after="120"/>
    </w:pPr>
  </w:style>
  <w:style w:type="paragraph" w:customStyle="1" w:styleId="Heading">
    <w:name w:val="Heading"/>
    <w:basedOn w:val="Standard"/>
    <w:next w:val="Textbody"/>
    <w:rsid w:val="001706C1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Lista">
    <w:name w:val="List"/>
    <w:basedOn w:val="Textbody"/>
    <w:rsid w:val="001706C1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1706C1"/>
    <w:pPr>
      <w:suppressLineNumbers/>
      <w:tabs>
        <w:tab w:val="center" w:pos="4110"/>
        <w:tab w:val="right" w:pos="8220"/>
      </w:tabs>
    </w:pPr>
  </w:style>
  <w:style w:type="paragraph" w:customStyle="1" w:styleId="Footer">
    <w:name w:val="Footer"/>
    <w:basedOn w:val="Standard"/>
    <w:rsid w:val="001706C1"/>
    <w:pPr>
      <w:suppressLineNumbers/>
      <w:tabs>
        <w:tab w:val="center" w:pos="4110"/>
        <w:tab w:val="right" w:pos="8220"/>
      </w:tabs>
    </w:pPr>
  </w:style>
  <w:style w:type="paragraph" w:customStyle="1" w:styleId="TableContents">
    <w:name w:val="Table Contents"/>
    <w:basedOn w:val="Standard"/>
    <w:rsid w:val="001706C1"/>
    <w:pPr>
      <w:suppressLineNumbers/>
    </w:pPr>
  </w:style>
  <w:style w:type="paragraph" w:customStyle="1" w:styleId="TableHeading">
    <w:name w:val="Table Heading"/>
    <w:basedOn w:val="TableContents"/>
    <w:rsid w:val="001706C1"/>
    <w:pPr>
      <w:jc w:val="center"/>
    </w:pPr>
    <w:rPr>
      <w:b/>
      <w:bCs/>
    </w:rPr>
  </w:style>
  <w:style w:type="paragraph" w:customStyle="1" w:styleId="Caption">
    <w:name w:val="Caption"/>
    <w:basedOn w:val="Standard"/>
    <w:rsid w:val="001706C1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Footnote">
    <w:name w:val="Footnote"/>
    <w:basedOn w:val="Standard"/>
    <w:rsid w:val="001706C1"/>
    <w:pPr>
      <w:suppressLineNumbers/>
      <w:ind w:left="283" w:hanging="283"/>
    </w:pPr>
  </w:style>
  <w:style w:type="paragraph" w:customStyle="1" w:styleId="Index">
    <w:name w:val="Index"/>
    <w:basedOn w:val="Standard"/>
    <w:rsid w:val="001706C1"/>
    <w:pPr>
      <w:suppressLineNumbers/>
    </w:pPr>
    <w:rPr>
      <w:rFonts w:cs="Tahoma"/>
    </w:rPr>
  </w:style>
  <w:style w:type="paragraph" w:customStyle="1" w:styleId="Headinguser">
    <w:name w:val="Heading (user)"/>
    <w:basedOn w:val="Standard"/>
    <w:next w:val="Textbody"/>
    <w:rsid w:val="001706C1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1706C1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1706C1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1706C1"/>
    <w:pPr>
      <w:tabs>
        <w:tab w:val="center" w:pos="4110"/>
        <w:tab w:val="right" w:pos="8220"/>
      </w:tabs>
    </w:pPr>
  </w:style>
  <w:style w:type="paragraph" w:styleId="Rodap">
    <w:name w:val="footer"/>
    <w:basedOn w:val="Standard"/>
    <w:rsid w:val="001706C1"/>
    <w:pPr>
      <w:tabs>
        <w:tab w:val="center" w:pos="4110"/>
        <w:tab w:val="right" w:pos="8220"/>
      </w:tabs>
    </w:pPr>
  </w:style>
  <w:style w:type="paragraph" w:customStyle="1" w:styleId="TableContentsuser">
    <w:name w:val="Table Contents (user)"/>
    <w:basedOn w:val="Standard"/>
    <w:rsid w:val="001706C1"/>
  </w:style>
  <w:style w:type="paragraph" w:customStyle="1" w:styleId="TableHeadinguser">
    <w:name w:val="Table Heading (user)"/>
    <w:basedOn w:val="TableContentsuser"/>
    <w:rsid w:val="001706C1"/>
    <w:pPr>
      <w:jc w:val="center"/>
    </w:pPr>
    <w:rPr>
      <w:b/>
      <w:bCs/>
    </w:rPr>
  </w:style>
  <w:style w:type="character" w:customStyle="1" w:styleId="FootnoteSymbol">
    <w:name w:val="Footnote Symbol"/>
    <w:rsid w:val="001706C1"/>
  </w:style>
  <w:style w:type="character" w:customStyle="1" w:styleId="Footnoteanchor">
    <w:name w:val="Footnote anchor"/>
    <w:rsid w:val="001706C1"/>
    <w:rPr>
      <w:position w:val="0"/>
      <w:vertAlign w:val="superscript"/>
    </w:rPr>
  </w:style>
  <w:style w:type="character" w:customStyle="1" w:styleId="CorpodetextoChar">
    <w:name w:val="Corpo de texto Char"/>
    <w:basedOn w:val="Fontepargpadro"/>
    <w:rsid w:val="001706C1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1706C1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1706C1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1706C1"/>
    <w:pPr>
      <w:numPr>
        <w:numId w:val="1"/>
      </w:numPr>
    </w:pPr>
  </w:style>
  <w:style w:type="character" w:styleId="Refdenotaderodap">
    <w:name w:val="footnote reference"/>
    <w:basedOn w:val="Fontepargpadro"/>
    <w:uiPriority w:val="99"/>
    <w:semiHidden/>
    <w:unhideWhenUsed/>
    <w:rsid w:val="001706C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1366</Words>
  <Characters>7377</Characters>
  <Application>Microsoft Office Word</Application>
  <DocSecurity>0</DocSecurity>
  <Lines>61</Lines>
  <Paragraphs>17</Paragraphs>
  <ScaleCrop>false</ScaleCrop>
  <Company/>
  <LinksUpToDate>false</LinksUpToDate>
  <CharactersWithSpaces>8726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Estação1</dc:creator>
  <cp:lastModifiedBy>Usuário do Windows</cp:lastModifiedBy>
  <cp:revision>2</cp:revision>
  <dcterms:created xsi:type="dcterms:W3CDTF">2015-05-26T13:31:00Z</dcterms:created>
  <dcterms:modified xsi:type="dcterms:W3CDTF">2015-05-26T13:31:00Z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