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0D68" w:rsidRDefault="00AA6EF9">
      <w:pPr>
        <w:pStyle w:val="Standard"/>
        <w:autoSpaceDE/>
        <w:spacing w:line="244" w:lineRule="exact"/>
        <w:rPr>
          <w:rFonts w:ascii="Arial, Helvetica" w:eastAsia="Arial, Helvetica" w:hAnsi="Arial, Helvetica" w:cs="Arial, Helvetica"/>
          <w:caps/>
        </w:rPr>
      </w:pPr>
      <w:r>
        <w:rPr>
          <w:rFonts w:ascii="Arial, Helvetica" w:eastAsia="Arial, Helvetica" w:hAnsi="Arial, Helvetica" w:cs="Arial, Helvetica"/>
          <w:caps/>
        </w:rPr>
        <w:t>Comarca de Porto Alegre</w:t>
      </w:r>
    </w:p>
    <w:p w:rsidR="00270D68" w:rsidRDefault="00AA6EF9">
      <w:pPr>
        <w:pStyle w:val="Standard"/>
        <w:autoSpaceDE/>
        <w:rPr>
          <w:rFonts w:ascii="Arial, Helvetica" w:eastAsia="Arial, Helvetica" w:hAnsi="Arial, Helvetica" w:cs="Arial, Helvetica"/>
          <w:caps/>
        </w:rPr>
      </w:pPr>
      <w:r>
        <w:rPr>
          <w:rFonts w:ascii="Arial, Helvetica" w:eastAsia="Arial, Helvetica" w:hAnsi="Arial, Helvetica" w:cs="Arial, Helvetica"/>
          <w:caps/>
        </w:rPr>
        <w:t xml:space="preserve">Vara de Falências, Concordatas e </w:t>
      </w:r>
      <w:proofErr w:type="gramStart"/>
      <w:r>
        <w:rPr>
          <w:rFonts w:ascii="Arial, Helvetica" w:eastAsia="Arial, Helvetica" w:hAnsi="Arial, Helvetica" w:cs="Arial, Helvetica"/>
          <w:caps/>
        </w:rPr>
        <w:t>Insolvências</w:t>
      </w:r>
      <w:proofErr w:type="gramEnd"/>
    </w:p>
    <w:p w:rsidR="00270D68" w:rsidRDefault="00AA6EF9">
      <w:pPr>
        <w:pStyle w:val="Standard"/>
        <w:autoSpaceDE/>
        <w:rPr>
          <w:rFonts w:ascii="Arial, Helvetica" w:eastAsia="Arial, Helvetica" w:hAnsi="Arial, Helvetica" w:cs="Arial, Helvetica"/>
        </w:rPr>
      </w:pPr>
      <w:r>
        <w:rPr>
          <w:rFonts w:ascii="Arial, Helvetica" w:eastAsia="Arial, Helvetica" w:hAnsi="Arial, Helvetica" w:cs="Arial, Helvetica"/>
        </w:rPr>
        <w:t xml:space="preserve">Rua Márcio Veras Vidor (antiga Rua Celeste </w:t>
      </w:r>
      <w:proofErr w:type="spellStart"/>
      <w:r>
        <w:rPr>
          <w:rFonts w:ascii="Arial, Helvetica" w:eastAsia="Arial, Helvetica" w:hAnsi="Arial, Helvetica" w:cs="Arial, Helvetica"/>
        </w:rPr>
        <w:t>Gobato</w:t>
      </w:r>
      <w:proofErr w:type="spellEnd"/>
      <w:r>
        <w:rPr>
          <w:rFonts w:ascii="Arial, Helvetica" w:eastAsia="Arial, Helvetica" w:hAnsi="Arial, Helvetica" w:cs="Arial, Helvetica"/>
        </w:rPr>
        <w:t xml:space="preserve">), </w:t>
      </w:r>
      <w:proofErr w:type="gramStart"/>
      <w:r>
        <w:rPr>
          <w:rFonts w:ascii="Arial, Helvetica" w:eastAsia="Arial, Helvetica" w:hAnsi="Arial, Helvetica" w:cs="Arial, Helvetica"/>
        </w:rPr>
        <w:t>10</w:t>
      </w:r>
      <w:proofErr w:type="gramEnd"/>
    </w:p>
    <w:p w:rsidR="00270D68" w:rsidRDefault="00AA6EF9">
      <w:pPr>
        <w:pStyle w:val="Standard"/>
        <w:autoSpaceDE/>
        <w:rPr>
          <w:rFonts w:ascii="Arial, Helvetica" w:eastAsia="Arial, Helvetica" w:hAnsi="Arial, Helvetica" w:cs="Arial, Helvetica"/>
        </w:rPr>
      </w:pPr>
      <w:r>
        <w:rPr>
          <w:rFonts w:ascii="Arial, Helvetica" w:eastAsia="Arial, Helvetica" w:hAnsi="Arial, Helvetica" w:cs="Arial, Helvetica"/>
        </w:rPr>
        <w:t>_________________________________________________________________________</w:t>
      </w:r>
    </w:p>
    <w:p w:rsidR="00270D68" w:rsidRDefault="00270D68">
      <w:pPr>
        <w:pStyle w:val="Standard"/>
        <w:autoSpaceDE/>
        <w:rPr>
          <w:rFonts w:ascii="Arial, Helvetica" w:eastAsia="Arial, Helvetica" w:hAnsi="Arial, Helvetica" w:cs="Arial, Helvetica"/>
        </w:rPr>
      </w:pPr>
    </w:p>
    <w:tbl>
      <w:tblPr>
        <w:tblW w:w="8290" w:type="dxa"/>
        <w:tblInd w:w="-7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053"/>
        <w:gridCol w:w="6237"/>
      </w:tblGrid>
      <w:tr w:rsidR="00270D68" w:rsidTr="00270D68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Processo nº:</w:t>
            </w:r>
            <w:proofErr w:type="gramStart"/>
            <w:r>
              <w:rPr>
                <w:rFonts w:ascii="Arial, Helvetica" w:eastAsia="Arial, Helvetica" w:hAnsi="Arial, Helvetica" w:cs="Arial, Helvetica"/>
                <w:b/>
                <w:bCs/>
              </w:rPr>
              <w:t xml:space="preserve">  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001/1.10.</w:t>
            </w:r>
            <w:proofErr w:type="gramEnd"/>
            <w:r>
              <w:rPr>
                <w:rFonts w:ascii="Arial, Helvetica" w:eastAsia="Arial, Helvetica" w:hAnsi="Arial, Helvetica" w:cs="Arial, Helvetica"/>
              </w:rPr>
              <w:t>0192122-5 (CNJ:.1921221-86.2010.8.21.0001)</w:t>
            </w:r>
          </w:p>
        </w:tc>
      </w:tr>
      <w:tr w:rsidR="00270D68" w:rsidTr="00270D68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Natureza: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Ordinária - Outros</w:t>
            </w:r>
          </w:p>
        </w:tc>
      </w:tr>
      <w:tr w:rsidR="00270D68" w:rsidTr="00270D68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Autor: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Massa Falida de Vigilância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Pedrozo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Ltda.</w:t>
            </w:r>
          </w:p>
        </w:tc>
      </w:tr>
      <w:tr w:rsidR="00270D68" w:rsidTr="00270D68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Réu: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proofErr w:type="spellStart"/>
            <w:r>
              <w:rPr>
                <w:rFonts w:ascii="Arial, Helvetica" w:eastAsia="Arial, Helvetica" w:hAnsi="Arial, Helvetica" w:cs="Arial, Helvetica"/>
              </w:rPr>
              <w:t>Pedrozo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Sistema de Segurança </w:t>
            </w:r>
            <w:r>
              <w:rPr>
                <w:rFonts w:ascii="Arial, Helvetica" w:eastAsia="Arial, Helvetica" w:hAnsi="Arial, Helvetica" w:cs="Arial, Helvetica"/>
              </w:rPr>
              <w:t>Ltda.</w:t>
            </w:r>
          </w:p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proofErr w:type="spellStart"/>
            <w:r>
              <w:rPr>
                <w:rFonts w:ascii="Arial, Helvetica" w:eastAsia="Arial, Helvetica" w:hAnsi="Arial, Helvetica" w:cs="Arial, Helvetica"/>
              </w:rPr>
              <w:t>Pedrozo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Sistemas de Monitoramento e Locação Ltda.</w:t>
            </w:r>
          </w:p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Escola de Formação e Aperfeiçoamento de </w:t>
            </w:r>
            <w:proofErr w:type="gramStart"/>
            <w:r>
              <w:rPr>
                <w:rFonts w:ascii="Arial, Helvetica" w:eastAsia="Arial, Helvetica" w:hAnsi="Arial, Helvetica" w:cs="Arial, Helvetica"/>
              </w:rPr>
              <w:t>Prof.</w:t>
            </w:r>
            <w:proofErr w:type="gramEnd"/>
            <w:r>
              <w:rPr>
                <w:rFonts w:ascii="Arial, Helvetica" w:eastAsia="Arial, Helvetica" w:hAnsi="Arial, Helvetica" w:cs="Arial, Helvetica"/>
              </w:rPr>
              <w:t xml:space="preserve"> de Escola Vigilante e Segurança</w:t>
            </w:r>
          </w:p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Vigilância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Itaqui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Ltda.</w:t>
            </w:r>
          </w:p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Gr Brasil</w:t>
            </w:r>
            <w:proofErr w:type="gramStart"/>
            <w:r>
              <w:rPr>
                <w:rFonts w:ascii="Arial, Helvetica" w:eastAsia="Arial, Helvetica" w:hAnsi="Arial, Helvetica" w:cs="Arial, Helvetica"/>
              </w:rPr>
              <w:t xml:space="preserve">  </w:t>
            </w:r>
            <w:proofErr w:type="gramEnd"/>
            <w:r>
              <w:rPr>
                <w:rFonts w:ascii="Arial, Helvetica" w:eastAsia="Arial, Helvetica" w:hAnsi="Arial, Helvetica" w:cs="Arial, Helvetica"/>
              </w:rPr>
              <w:t>Gestão de Riscos Ltda.</w:t>
            </w:r>
          </w:p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GR Brasil Participações S A</w:t>
            </w:r>
          </w:p>
          <w:p w:rsidR="00270D68" w:rsidRDefault="00AA6EF9">
            <w:pPr>
              <w:pStyle w:val="Standard"/>
              <w:autoSpaceDE/>
              <w:spacing w:after="200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GR Brasil Infra Estrutura de Serviço</w:t>
            </w:r>
            <w:r>
              <w:rPr>
                <w:rFonts w:ascii="Arial, Helvetica" w:eastAsia="Arial, Helvetica" w:hAnsi="Arial, Helvetica" w:cs="Arial, Helvetica"/>
              </w:rPr>
              <w:t>s Ltda.</w:t>
            </w:r>
          </w:p>
        </w:tc>
      </w:tr>
      <w:tr w:rsidR="00270D68" w:rsidTr="00270D68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Juiz Prolator: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 xml:space="preserve">Juiz Substituto - Dr. Lucas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Maltez</w:t>
            </w:r>
            <w:proofErr w:type="spellEnd"/>
            <w:r>
              <w:rPr>
                <w:rFonts w:ascii="Arial, Helvetica" w:eastAsia="Arial, Helvetica" w:hAnsi="Arial, Helvetica" w:cs="Arial, Helvetica"/>
              </w:rPr>
              <w:t xml:space="preserve"> </w:t>
            </w:r>
            <w:proofErr w:type="spellStart"/>
            <w:r>
              <w:rPr>
                <w:rFonts w:ascii="Arial, Helvetica" w:eastAsia="Arial, Helvetica" w:hAnsi="Arial, Helvetica" w:cs="Arial, Helvetica"/>
              </w:rPr>
              <w:t>Kachny</w:t>
            </w:r>
            <w:proofErr w:type="spellEnd"/>
          </w:p>
        </w:tc>
      </w:tr>
      <w:tr w:rsidR="00270D68" w:rsidTr="00270D68">
        <w:tblPrEx>
          <w:tblCellMar>
            <w:top w:w="0" w:type="dxa"/>
            <w:bottom w:w="0" w:type="dxa"/>
          </w:tblCellMar>
        </w:tblPrEx>
        <w:tc>
          <w:tcPr>
            <w:tcW w:w="2053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/>
              <w:rPr>
                <w:rFonts w:ascii="Arial, Helvetica" w:eastAsia="Arial, Helvetica" w:hAnsi="Arial, Helvetica" w:cs="Arial, Helvetica"/>
                <w:b/>
                <w:bCs/>
              </w:rPr>
            </w:pPr>
            <w:r>
              <w:rPr>
                <w:rFonts w:ascii="Arial, Helvetica" w:eastAsia="Arial, Helvetica" w:hAnsi="Arial, Helvetica" w:cs="Arial, Helvetica"/>
                <w:b/>
                <w:bCs/>
              </w:rPr>
              <w:t>Data:</w:t>
            </w:r>
          </w:p>
        </w:tc>
        <w:tc>
          <w:tcPr>
            <w:tcW w:w="6237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:rsidR="00270D68" w:rsidRDefault="00AA6EF9">
            <w:pPr>
              <w:pStyle w:val="Standard"/>
              <w:autoSpaceDE/>
              <w:spacing w:before="6" w:after="6" w:line="276" w:lineRule="auto"/>
              <w:rPr>
                <w:rFonts w:ascii="Arial, Helvetica" w:eastAsia="Arial, Helvetica" w:hAnsi="Arial, Helvetica" w:cs="Arial, Helvetica"/>
              </w:rPr>
            </w:pPr>
            <w:r>
              <w:rPr>
                <w:rFonts w:ascii="Arial, Helvetica" w:eastAsia="Arial, Helvetica" w:hAnsi="Arial, Helvetica" w:cs="Arial, Helvetica"/>
              </w:rPr>
              <w:t>08/05/2012</w:t>
            </w:r>
          </w:p>
        </w:tc>
      </w:tr>
    </w:tbl>
    <w:p w:rsidR="00270D68" w:rsidRDefault="00270D68">
      <w:pPr>
        <w:pStyle w:val="Standard"/>
        <w:autoSpaceDE/>
        <w:rPr>
          <w:rFonts w:ascii="Arial, Helvetica" w:eastAsia="Arial, Helvetica" w:hAnsi="Arial, Helvetica" w:cs="Arial, Helvetica"/>
        </w:rPr>
      </w:pPr>
    </w:p>
    <w:p w:rsidR="00270D68" w:rsidRDefault="00AA6EF9">
      <w:pPr>
        <w:pStyle w:val="Standard"/>
        <w:autoSpaceDE/>
        <w:spacing w:before="6" w:after="6"/>
        <w:jc w:val="both"/>
        <w:rPr>
          <w:rFonts w:ascii="Arial, Helvetica" w:eastAsia="Arial, Helvetica" w:hAnsi="Arial, Helvetica" w:cs="Arial, Helvetica"/>
          <w:sz w:val="22"/>
          <w:szCs w:val="22"/>
        </w:rPr>
      </w:pPr>
      <w:bookmarkStart w:id="0" w:name="IND_TEXTOSENTENCA_INICIO"/>
      <w:bookmarkEnd w:id="0"/>
      <w:r>
        <w:rPr>
          <w:rFonts w:ascii="Arial, Helvetica" w:eastAsia="Arial, Helvetica" w:hAnsi="Arial, Helvetica" w:cs="Arial, Helvetica"/>
          <w:sz w:val="22"/>
          <w:szCs w:val="22"/>
        </w:rPr>
        <w:t xml:space="preserve">                             </w:t>
      </w:r>
    </w:p>
    <w:p w:rsidR="00270D68" w:rsidRDefault="00270D68">
      <w:pPr>
        <w:pStyle w:val="Standard"/>
        <w:autoSpaceDE/>
        <w:spacing w:before="6" w:after="6"/>
        <w:jc w:val="both"/>
        <w:rPr>
          <w:rFonts w:ascii="Arial, Helvetica" w:eastAsia="Arial, Helvetica" w:hAnsi="Arial, Helvetica" w:cs="Arial, Helvetica"/>
          <w:sz w:val="22"/>
          <w:szCs w:val="22"/>
        </w:rPr>
      </w:pPr>
    </w:p>
    <w:p w:rsidR="00270D68" w:rsidRDefault="00270D68">
      <w:pPr>
        <w:pStyle w:val="Standard"/>
        <w:autoSpaceDE/>
        <w:spacing w:before="6" w:after="6"/>
        <w:jc w:val="both"/>
        <w:rPr>
          <w:rFonts w:ascii="Arial, Helvetica" w:eastAsia="Arial, Helvetica" w:hAnsi="Arial, Helvetica" w:cs="Arial, Helvetica"/>
          <w:sz w:val="22"/>
          <w:szCs w:val="22"/>
        </w:rPr>
      </w:pPr>
    </w:p>
    <w:p w:rsidR="00270D68" w:rsidRDefault="00AA6EF9">
      <w:pPr>
        <w:pStyle w:val="Standard"/>
        <w:autoSpaceDE/>
        <w:spacing w:before="6" w:after="6"/>
        <w:ind w:firstLine="1777"/>
        <w:jc w:val="both"/>
        <w:rPr>
          <w:rFonts w:ascii="Arial, Helvetica" w:eastAsia="Arial, Helvetica" w:hAnsi="Arial, Helvetica" w:cs="Arial, Helvetica"/>
          <w:sz w:val="22"/>
          <w:szCs w:val="22"/>
        </w:rPr>
      </w:pPr>
      <w:r>
        <w:rPr>
          <w:rFonts w:ascii="Arial, Helvetica" w:eastAsia="Arial, Helvetica" w:hAnsi="Arial, Helvetica" w:cs="Arial, Helvetica"/>
          <w:sz w:val="22"/>
          <w:szCs w:val="22"/>
        </w:rPr>
        <w:t>Vistos etc.</w:t>
      </w:r>
    </w:p>
    <w:p w:rsidR="00270D68" w:rsidRDefault="00270D68">
      <w:pPr>
        <w:pStyle w:val="Textbody"/>
        <w:spacing w:line="360" w:lineRule="auto"/>
        <w:ind w:firstLine="1777"/>
        <w:jc w:val="both"/>
        <w:rPr>
          <w:rFonts w:ascii="Arial" w:hAnsi="Arial"/>
          <w:b/>
          <w:sz w:val="22"/>
          <w:szCs w:val="22"/>
        </w:rPr>
      </w:pPr>
    </w:p>
    <w:p w:rsidR="00270D68" w:rsidRDefault="00AA6EF9">
      <w:pPr>
        <w:pStyle w:val="Textbody"/>
        <w:spacing w:line="360" w:lineRule="auto"/>
        <w:ind w:firstLine="1777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Massa Falida de Vigilância </w:t>
      </w:r>
      <w:proofErr w:type="spellStart"/>
      <w:r>
        <w:rPr>
          <w:rFonts w:ascii="Arial" w:hAnsi="Arial"/>
          <w:b/>
          <w:sz w:val="22"/>
          <w:szCs w:val="22"/>
        </w:rPr>
        <w:t>Pedrozo</w:t>
      </w:r>
      <w:proofErr w:type="spellEnd"/>
      <w:proofErr w:type="gramStart"/>
      <w:r>
        <w:rPr>
          <w:rFonts w:ascii="Arial" w:hAnsi="Arial"/>
          <w:b/>
          <w:sz w:val="22"/>
          <w:szCs w:val="22"/>
        </w:rPr>
        <w:t>.</w:t>
      </w:r>
      <w:r>
        <w:rPr>
          <w:rFonts w:ascii="Arial" w:hAnsi="Arial"/>
          <w:sz w:val="22"/>
          <w:szCs w:val="22"/>
        </w:rPr>
        <w:t>,</w:t>
      </w:r>
      <w:proofErr w:type="gramEnd"/>
      <w:r>
        <w:rPr>
          <w:rFonts w:ascii="Arial" w:hAnsi="Arial"/>
          <w:sz w:val="22"/>
          <w:szCs w:val="22"/>
        </w:rPr>
        <w:t xml:space="preserve"> já qualificada, ingressou perante este Juízo com o presente pedido de extensão dos </w:t>
      </w:r>
      <w:r>
        <w:rPr>
          <w:rFonts w:ascii="Arial" w:hAnsi="Arial"/>
          <w:sz w:val="22"/>
          <w:szCs w:val="22"/>
        </w:rPr>
        <w:t xml:space="preserve">efeitos da falência da empresa Vigilância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Ltda., em relação às empresas </w:t>
      </w:r>
      <w:proofErr w:type="spellStart"/>
      <w:r>
        <w:rPr>
          <w:rFonts w:ascii="Arial" w:hAnsi="Arial"/>
          <w:b/>
          <w:sz w:val="22"/>
          <w:szCs w:val="22"/>
        </w:rPr>
        <w:t>Pedrozo</w:t>
      </w:r>
      <w:proofErr w:type="spellEnd"/>
      <w:r>
        <w:rPr>
          <w:rFonts w:ascii="Arial" w:hAnsi="Arial"/>
          <w:b/>
          <w:sz w:val="22"/>
          <w:szCs w:val="22"/>
        </w:rPr>
        <w:t xml:space="preserve"> Sistema de Segurança Ltda., </w:t>
      </w:r>
      <w:proofErr w:type="spellStart"/>
      <w:r>
        <w:rPr>
          <w:rFonts w:ascii="Arial" w:hAnsi="Arial"/>
          <w:b/>
          <w:sz w:val="22"/>
          <w:szCs w:val="22"/>
        </w:rPr>
        <w:t>Pedrozo</w:t>
      </w:r>
      <w:proofErr w:type="spellEnd"/>
      <w:r>
        <w:rPr>
          <w:rFonts w:ascii="Arial" w:hAnsi="Arial"/>
          <w:b/>
          <w:sz w:val="22"/>
          <w:szCs w:val="22"/>
        </w:rPr>
        <w:t xml:space="preserve"> Sistemas de Monitoramento e Locação Ltda., Escola de Formação e Aperfeiçoamento Profissional de Vigilantes e Segurança </w:t>
      </w:r>
      <w:proofErr w:type="spellStart"/>
      <w:r>
        <w:rPr>
          <w:rFonts w:ascii="Arial" w:hAnsi="Arial"/>
          <w:b/>
          <w:sz w:val="22"/>
          <w:szCs w:val="22"/>
        </w:rPr>
        <w:t>Pedrozo</w:t>
      </w:r>
      <w:proofErr w:type="spellEnd"/>
      <w:r>
        <w:rPr>
          <w:rFonts w:ascii="Arial" w:hAnsi="Arial"/>
          <w:b/>
          <w:sz w:val="22"/>
          <w:szCs w:val="22"/>
        </w:rPr>
        <w:t xml:space="preserve"> Ltda.</w:t>
      </w:r>
      <w:r>
        <w:rPr>
          <w:rFonts w:ascii="Arial" w:hAnsi="Arial"/>
          <w:b/>
          <w:sz w:val="22"/>
          <w:szCs w:val="22"/>
        </w:rPr>
        <w:t xml:space="preserve">, Vigilância </w:t>
      </w:r>
      <w:proofErr w:type="spellStart"/>
      <w:r>
        <w:rPr>
          <w:rFonts w:ascii="Arial" w:hAnsi="Arial"/>
          <w:b/>
          <w:sz w:val="22"/>
          <w:szCs w:val="22"/>
        </w:rPr>
        <w:t>Itaqui</w:t>
      </w:r>
      <w:proofErr w:type="spellEnd"/>
      <w:r>
        <w:rPr>
          <w:rFonts w:ascii="Arial" w:hAnsi="Arial"/>
          <w:b/>
          <w:sz w:val="22"/>
          <w:szCs w:val="22"/>
        </w:rPr>
        <w:t xml:space="preserve"> Ltda., GR Brasil Gestão de Riscos Ltda., GR Brasil S/A Participações, GR Brasil </w:t>
      </w:r>
      <w:proofErr w:type="spellStart"/>
      <w:r>
        <w:rPr>
          <w:rFonts w:ascii="Arial" w:hAnsi="Arial"/>
          <w:b/>
          <w:sz w:val="22"/>
          <w:szCs w:val="22"/>
        </w:rPr>
        <w:t>Infra-Estrutura</w:t>
      </w:r>
      <w:proofErr w:type="spellEnd"/>
      <w:r>
        <w:rPr>
          <w:rFonts w:ascii="Arial" w:hAnsi="Arial"/>
          <w:b/>
          <w:sz w:val="22"/>
          <w:szCs w:val="22"/>
        </w:rPr>
        <w:t xml:space="preserve"> de Serviços Ltda.</w:t>
      </w:r>
      <w:r>
        <w:rPr>
          <w:rFonts w:ascii="Arial" w:hAnsi="Arial"/>
          <w:sz w:val="22"/>
          <w:szCs w:val="22"/>
        </w:rPr>
        <w:t xml:space="preserve">, sob o argumento de que as demandadas constituem grupo econômico cujo centro é a empresa Vigilância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Ltda., uma vez</w:t>
      </w:r>
      <w:r>
        <w:rPr>
          <w:rFonts w:ascii="Arial" w:hAnsi="Arial"/>
          <w:sz w:val="22"/>
          <w:szCs w:val="22"/>
        </w:rPr>
        <w:t xml:space="preserve"> que todas atuavam no ramo da </w:t>
      </w:r>
      <w:proofErr w:type="gramStart"/>
      <w:r>
        <w:rPr>
          <w:rFonts w:ascii="Arial" w:hAnsi="Arial"/>
          <w:sz w:val="22"/>
          <w:szCs w:val="22"/>
        </w:rPr>
        <w:t>segurança</w:t>
      </w:r>
      <w:proofErr w:type="gramEnd"/>
      <w:r>
        <w:rPr>
          <w:rFonts w:ascii="Arial" w:hAnsi="Arial"/>
          <w:sz w:val="22"/>
          <w:szCs w:val="22"/>
        </w:rPr>
        <w:t xml:space="preserve"> privada, bem como os sócios eram basicamente os mesmos.</w:t>
      </w:r>
    </w:p>
    <w:p w:rsidR="00270D68" w:rsidRDefault="00AA6EF9">
      <w:pPr>
        <w:pStyle w:val="Textbody"/>
        <w:spacing w:line="360" w:lineRule="auto"/>
        <w:ind w:firstLine="175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Juntou os documentos de fls. 13/156 e emendou a inicial às fls. 160/164.</w:t>
      </w:r>
    </w:p>
    <w:p w:rsidR="00270D68" w:rsidRDefault="00AA6EF9">
      <w:pPr>
        <w:pStyle w:val="Textbody"/>
        <w:spacing w:line="360" w:lineRule="auto"/>
        <w:ind w:firstLine="175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Deferido o pedido de antecipação de tutela sobre o arresto dos bens das empresas reque</w:t>
      </w:r>
      <w:r>
        <w:rPr>
          <w:rFonts w:ascii="Arial" w:hAnsi="Arial"/>
          <w:sz w:val="22"/>
          <w:szCs w:val="22"/>
        </w:rPr>
        <w:t>ridas</w:t>
      </w:r>
      <w:proofErr w:type="gramStart"/>
      <w:r>
        <w:rPr>
          <w:rFonts w:ascii="Arial" w:hAnsi="Arial"/>
          <w:sz w:val="22"/>
          <w:szCs w:val="22"/>
        </w:rPr>
        <w:t xml:space="preserve">  </w:t>
      </w:r>
      <w:proofErr w:type="gramEnd"/>
      <w:r>
        <w:rPr>
          <w:rFonts w:ascii="Arial" w:hAnsi="Arial"/>
          <w:sz w:val="22"/>
          <w:szCs w:val="22"/>
        </w:rPr>
        <w:t>(fls. 173/174).</w:t>
      </w:r>
    </w:p>
    <w:p w:rsidR="00270D68" w:rsidRDefault="00AA6EF9">
      <w:pPr>
        <w:pStyle w:val="Textbody"/>
        <w:spacing w:line="360" w:lineRule="auto"/>
        <w:ind w:firstLine="175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lastRenderedPageBreak/>
        <w:t>Os requeridos foram intimados via carta precatória (fl. 224) para se manifestarem acerca do pedido de extensão dos efeitos da falência, o que fizeram à fl. 229, concordando com a declaração da extensão dos efeitos às pessoas jurídica</w:t>
      </w:r>
      <w:r>
        <w:rPr>
          <w:rFonts w:ascii="Arial" w:hAnsi="Arial"/>
          <w:sz w:val="22"/>
          <w:szCs w:val="22"/>
        </w:rPr>
        <w:t>s relacionadas no polo passivo desta demanda.</w:t>
      </w:r>
    </w:p>
    <w:p w:rsidR="00270D68" w:rsidRDefault="00AA6EF9">
      <w:pPr>
        <w:pStyle w:val="Textbody"/>
        <w:spacing w:line="360" w:lineRule="auto"/>
        <w:ind w:firstLine="175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Determinada a intimação da sócia Vera Maria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(fl.244), após diligências realizadas, sobreveio declaração (fl.257) em que referiu serem as empresas parte do mesmo grupo econômico da falida, tendo ratifica</w:t>
      </w:r>
      <w:r>
        <w:rPr>
          <w:rFonts w:ascii="Arial" w:hAnsi="Arial"/>
          <w:sz w:val="22"/>
          <w:szCs w:val="22"/>
        </w:rPr>
        <w:t>do a declaração à fl. 273, bem como esclarecida a divergência quanto à assinatura.</w:t>
      </w:r>
    </w:p>
    <w:p w:rsidR="00270D68" w:rsidRDefault="00AA6EF9">
      <w:pPr>
        <w:pStyle w:val="Textbody"/>
        <w:spacing w:line="360" w:lineRule="auto"/>
        <w:ind w:firstLine="175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Determinada a suspensão do processo até o julgamento do incidente de destituição </w:t>
      </w:r>
      <w:proofErr w:type="gramStart"/>
      <w:r>
        <w:rPr>
          <w:rFonts w:ascii="Arial" w:hAnsi="Arial"/>
          <w:sz w:val="22"/>
          <w:szCs w:val="22"/>
        </w:rPr>
        <w:t xml:space="preserve">( </w:t>
      </w:r>
      <w:proofErr w:type="gramEnd"/>
      <w:r>
        <w:rPr>
          <w:rFonts w:ascii="Arial" w:hAnsi="Arial"/>
          <w:sz w:val="22"/>
          <w:szCs w:val="22"/>
        </w:rPr>
        <w:t>fl. 282), foi revista a decisão à fl. 287.</w:t>
      </w:r>
    </w:p>
    <w:p w:rsidR="00270D68" w:rsidRDefault="00AA6EF9">
      <w:pPr>
        <w:pStyle w:val="Textbody"/>
        <w:spacing w:line="360" w:lineRule="auto"/>
        <w:ind w:firstLine="175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O Ministério Público emitiu parecer às fls. </w:t>
      </w:r>
      <w:r>
        <w:rPr>
          <w:rFonts w:ascii="Arial" w:hAnsi="Arial"/>
          <w:sz w:val="22"/>
          <w:szCs w:val="22"/>
        </w:rPr>
        <w:t>240/243 opinando pela procedência da ação, ratificado às fls. 260 e 288.</w:t>
      </w:r>
    </w:p>
    <w:p w:rsidR="00270D68" w:rsidRDefault="00AA6EF9">
      <w:pPr>
        <w:pStyle w:val="Textbody"/>
        <w:spacing w:line="360" w:lineRule="auto"/>
        <w:ind w:firstLine="175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É o relatório.</w:t>
      </w:r>
    </w:p>
    <w:p w:rsidR="00270D68" w:rsidRDefault="00AA6EF9">
      <w:pPr>
        <w:pStyle w:val="Textbody"/>
        <w:spacing w:line="360" w:lineRule="auto"/>
        <w:ind w:firstLine="1750"/>
        <w:jc w:val="both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Decido.</w:t>
      </w:r>
    </w:p>
    <w:p w:rsidR="00270D68" w:rsidRDefault="00AA6EF9">
      <w:pPr>
        <w:pStyle w:val="Textbody"/>
        <w:spacing w:line="360" w:lineRule="auto"/>
        <w:ind w:firstLine="175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Postulou a Massa Falida de Vigilância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Ltda., por seu Administrador, a extensão dos efeitos da falência de Vigilância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Ltda. para as empresas </w:t>
      </w:r>
      <w:proofErr w:type="spellStart"/>
      <w:r>
        <w:rPr>
          <w:rFonts w:ascii="Arial" w:hAnsi="Arial"/>
          <w:sz w:val="22"/>
          <w:szCs w:val="22"/>
        </w:rPr>
        <w:t>Pedr</w:t>
      </w:r>
      <w:r>
        <w:rPr>
          <w:rFonts w:ascii="Arial" w:hAnsi="Arial"/>
          <w:sz w:val="22"/>
          <w:szCs w:val="22"/>
        </w:rPr>
        <w:t>ozo</w:t>
      </w:r>
      <w:proofErr w:type="spellEnd"/>
      <w:r>
        <w:rPr>
          <w:rFonts w:ascii="Arial" w:hAnsi="Arial"/>
          <w:sz w:val="22"/>
          <w:szCs w:val="22"/>
        </w:rPr>
        <w:t xml:space="preserve"> Sistema de Segurança Ltda.,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Sistemas de Monitoramento e Locação Ltda., Escola de Formação e Aperfeiçoamento Profissional de Vigilantes e Segurança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Ltda., Vigilância </w:t>
      </w:r>
      <w:proofErr w:type="spellStart"/>
      <w:r>
        <w:rPr>
          <w:rFonts w:ascii="Arial" w:hAnsi="Arial"/>
          <w:sz w:val="22"/>
          <w:szCs w:val="22"/>
        </w:rPr>
        <w:t>Itaqui</w:t>
      </w:r>
      <w:proofErr w:type="spellEnd"/>
      <w:r>
        <w:rPr>
          <w:rFonts w:ascii="Arial" w:hAnsi="Arial"/>
          <w:sz w:val="22"/>
          <w:szCs w:val="22"/>
        </w:rPr>
        <w:t xml:space="preserve"> Ltda., GR Brasil Gestão de Riscos Ltda., GR Brasil S/A Participa</w:t>
      </w:r>
      <w:r>
        <w:rPr>
          <w:rFonts w:ascii="Arial" w:hAnsi="Arial"/>
          <w:sz w:val="22"/>
          <w:szCs w:val="22"/>
        </w:rPr>
        <w:t xml:space="preserve">ções, GR Brasil </w:t>
      </w:r>
      <w:proofErr w:type="spellStart"/>
      <w:r>
        <w:rPr>
          <w:rFonts w:ascii="Arial" w:hAnsi="Arial"/>
          <w:sz w:val="22"/>
          <w:szCs w:val="22"/>
        </w:rPr>
        <w:t>Infra-Estrutura</w:t>
      </w:r>
      <w:proofErr w:type="spellEnd"/>
      <w:r>
        <w:rPr>
          <w:rFonts w:ascii="Arial" w:hAnsi="Arial"/>
          <w:sz w:val="22"/>
          <w:szCs w:val="22"/>
        </w:rPr>
        <w:t xml:space="preserve"> de Serviços Ltda.</w:t>
      </w:r>
      <w:r>
        <w:rPr>
          <w:rFonts w:ascii="Arial" w:hAnsi="Arial"/>
          <w:sz w:val="22"/>
          <w:szCs w:val="22"/>
        </w:rPr>
        <w:t>, sustentando se tratar de empresas pertencentes ao mesmo grupo econômico liderado pela empresa Vigilância Pedroso Ltda., funcionando, por vezes, no mesmo local e com o mesmo ramo de atividades, bem como a m</w:t>
      </w:r>
      <w:r>
        <w:rPr>
          <w:rFonts w:ascii="Arial" w:hAnsi="Arial"/>
          <w:sz w:val="22"/>
          <w:szCs w:val="22"/>
        </w:rPr>
        <w:t>esma identidade societária da falida.</w:t>
      </w:r>
    </w:p>
    <w:p w:rsidR="00270D68" w:rsidRDefault="00AA6EF9">
      <w:pPr>
        <w:pStyle w:val="Textbody"/>
        <w:spacing w:line="360" w:lineRule="auto"/>
        <w:ind w:firstLine="180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O pedido de arresto dos bens das empresas requeridas foi deferido como medida de antecipação de tutela às fls. 173/174.</w:t>
      </w:r>
    </w:p>
    <w:p w:rsidR="00270D68" w:rsidRDefault="00AA6EF9">
      <w:pPr>
        <w:pStyle w:val="Textbody"/>
        <w:spacing w:line="360" w:lineRule="auto"/>
        <w:ind w:firstLine="180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Razão assiste ao Administrador, uma vez que demonstrada a existência de grupo econômico em virtu</w:t>
      </w:r>
      <w:r>
        <w:rPr>
          <w:rFonts w:ascii="Arial" w:hAnsi="Arial"/>
          <w:sz w:val="22"/>
          <w:szCs w:val="22"/>
        </w:rPr>
        <w:t xml:space="preserve">de da composição societária, a qual se deu, basicamente, pelos sócios Albino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, Ivan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e Vera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- atualmente assinando Vera Maria Rodrigues -, além do objeto social das empresas </w:t>
      </w:r>
      <w:r>
        <w:rPr>
          <w:rFonts w:ascii="Arial" w:hAnsi="Arial"/>
          <w:sz w:val="22"/>
          <w:szCs w:val="22"/>
        </w:rPr>
        <w:lastRenderedPageBreak/>
        <w:t xml:space="preserve">ser semelhante </w:t>
      </w:r>
      <w:proofErr w:type="gramStart"/>
      <w:r>
        <w:rPr>
          <w:rFonts w:ascii="Arial" w:hAnsi="Arial"/>
          <w:sz w:val="22"/>
          <w:szCs w:val="22"/>
        </w:rPr>
        <w:t>na medida que</w:t>
      </w:r>
      <w:proofErr w:type="gramEnd"/>
      <w:r>
        <w:rPr>
          <w:rFonts w:ascii="Arial" w:hAnsi="Arial"/>
          <w:sz w:val="22"/>
          <w:szCs w:val="22"/>
        </w:rPr>
        <w:t xml:space="preserve"> abrangiam atos que envolvem a s</w:t>
      </w:r>
      <w:r>
        <w:rPr>
          <w:rFonts w:ascii="Arial" w:hAnsi="Arial"/>
          <w:sz w:val="22"/>
          <w:szCs w:val="22"/>
        </w:rPr>
        <w:t>egurança privada, conforme se verifica nos contratos juntados (fl. 32 -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Sistema de Segurança Ltda., fl. 50 -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Sistema de Monitoramento e Locação Ltda., fl. 77 – Vigilância </w:t>
      </w:r>
      <w:proofErr w:type="spellStart"/>
      <w:r>
        <w:rPr>
          <w:rFonts w:ascii="Arial" w:hAnsi="Arial"/>
          <w:sz w:val="22"/>
          <w:szCs w:val="22"/>
        </w:rPr>
        <w:t>Itaqui</w:t>
      </w:r>
      <w:proofErr w:type="spellEnd"/>
      <w:r>
        <w:rPr>
          <w:rFonts w:ascii="Arial" w:hAnsi="Arial"/>
          <w:sz w:val="22"/>
          <w:szCs w:val="22"/>
        </w:rPr>
        <w:t xml:space="preserve"> Ltda., fl. 99 – GR Brasil Gestão de Riscos Ltda., fl.141 – GR B</w:t>
      </w:r>
      <w:r>
        <w:rPr>
          <w:rFonts w:ascii="Arial" w:hAnsi="Arial"/>
          <w:sz w:val="22"/>
          <w:szCs w:val="22"/>
        </w:rPr>
        <w:t xml:space="preserve">rasil </w:t>
      </w:r>
      <w:proofErr w:type="spellStart"/>
      <w:r>
        <w:rPr>
          <w:rFonts w:ascii="Arial" w:hAnsi="Arial"/>
          <w:sz w:val="22"/>
          <w:szCs w:val="22"/>
        </w:rPr>
        <w:t>Infra-estrutura</w:t>
      </w:r>
      <w:proofErr w:type="spellEnd"/>
      <w:r>
        <w:rPr>
          <w:rFonts w:ascii="Arial" w:hAnsi="Arial"/>
          <w:sz w:val="22"/>
          <w:szCs w:val="22"/>
        </w:rPr>
        <w:t xml:space="preserve"> de Serviços Ltda.).</w:t>
      </w:r>
    </w:p>
    <w:p w:rsidR="00270D68" w:rsidRDefault="00AA6EF9">
      <w:pPr>
        <w:pStyle w:val="Textbody"/>
        <w:spacing w:line="360" w:lineRule="auto"/>
        <w:ind w:firstLine="180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Ademais, houve concordância expressa dos sócios com o pedido, o que leva à procedência da ação nos termos do art. 269, II, do CPC.</w:t>
      </w:r>
    </w:p>
    <w:p w:rsidR="00270D68" w:rsidRDefault="00AA6EF9">
      <w:pPr>
        <w:pStyle w:val="Textbody"/>
        <w:spacing w:line="360" w:lineRule="auto"/>
        <w:ind w:firstLine="1800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Observo, por pertinente, que os atos processuais, bem como os atinentes à arrecada</w:t>
      </w:r>
      <w:r>
        <w:rPr>
          <w:rFonts w:ascii="Arial" w:hAnsi="Arial"/>
          <w:sz w:val="22"/>
          <w:szCs w:val="22"/>
        </w:rPr>
        <w:t xml:space="preserve">ção, publicação da relação de credores prevista no art. 7º, § 1º, da Lei 11.101/2005, publicação de editais referentes à falência das demandadas a e atos que envolvam alienação de ativos deverão ocorrer nestes autos, a fim de evitar maior tumulto processo </w:t>
      </w:r>
      <w:r>
        <w:rPr>
          <w:rFonts w:ascii="Arial" w:hAnsi="Arial"/>
          <w:sz w:val="22"/>
          <w:szCs w:val="22"/>
        </w:rPr>
        <w:t xml:space="preserve">nos autos da falência de Vigilância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Ltda., já com mais de 40 volumes, devendo ser unificados quando da consolidação do quadro geral de credores e realização dos pagamentos, uma vez que os ativos apurados em relação a todas as empresas do grupo econ</w:t>
      </w:r>
      <w:r>
        <w:rPr>
          <w:rFonts w:ascii="Arial" w:hAnsi="Arial"/>
          <w:sz w:val="22"/>
          <w:szCs w:val="22"/>
        </w:rPr>
        <w:t>ômico serão utilizados para o pagamento dos créditos de todos os credores do precitado grupo econômico, independentemente da sua origem.</w:t>
      </w:r>
    </w:p>
    <w:p w:rsidR="00270D68" w:rsidRDefault="00AA6EF9">
      <w:pPr>
        <w:pStyle w:val="Textbody"/>
        <w:spacing w:line="360" w:lineRule="auto"/>
        <w:ind w:firstLine="1800"/>
        <w:jc w:val="both"/>
        <w:rPr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 xml:space="preserve">ANTE O EXPOSTO, JULGO PROCEDENTE </w:t>
      </w:r>
      <w:r>
        <w:rPr>
          <w:rFonts w:ascii="Arial" w:hAnsi="Arial"/>
          <w:sz w:val="22"/>
          <w:szCs w:val="22"/>
        </w:rPr>
        <w:t>o pedido para estender os efeitos da falência de</w:t>
      </w:r>
      <w:r>
        <w:rPr>
          <w:rFonts w:ascii="Arial" w:hAnsi="Arial"/>
          <w:b/>
          <w:sz w:val="22"/>
          <w:szCs w:val="22"/>
        </w:rPr>
        <w:t xml:space="preserve"> Vigilância </w:t>
      </w:r>
      <w:proofErr w:type="spellStart"/>
      <w:r>
        <w:rPr>
          <w:rFonts w:ascii="Arial" w:hAnsi="Arial"/>
          <w:b/>
          <w:sz w:val="22"/>
          <w:szCs w:val="22"/>
        </w:rPr>
        <w:t>Pedrozo</w:t>
      </w:r>
      <w:proofErr w:type="spellEnd"/>
      <w:r>
        <w:rPr>
          <w:rFonts w:ascii="Arial" w:hAnsi="Arial"/>
          <w:b/>
          <w:sz w:val="22"/>
          <w:szCs w:val="22"/>
        </w:rPr>
        <w:t xml:space="preserve"> Ltda</w:t>
      </w:r>
      <w:r>
        <w:rPr>
          <w:rFonts w:ascii="Arial" w:hAnsi="Arial"/>
          <w:sz w:val="22"/>
          <w:szCs w:val="22"/>
        </w:rPr>
        <w:t>. para as empr</w:t>
      </w:r>
      <w:r>
        <w:rPr>
          <w:rFonts w:ascii="Arial" w:hAnsi="Arial"/>
          <w:sz w:val="22"/>
          <w:szCs w:val="22"/>
        </w:rPr>
        <w:t>esas</w:t>
      </w:r>
      <w:r>
        <w:rPr>
          <w:rFonts w:ascii="Arial" w:hAnsi="Arial"/>
          <w:b/>
          <w:sz w:val="22"/>
          <w:szCs w:val="22"/>
        </w:rPr>
        <w:t xml:space="preserve"> </w:t>
      </w:r>
      <w:proofErr w:type="spellStart"/>
      <w:r>
        <w:rPr>
          <w:rFonts w:ascii="Arial" w:hAnsi="Arial"/>
          <w:b/>
          <w:bCs/>
          <w:sz w:val="22"/>
          <w:szCs w:val="22"/>
        </w:rPr>
        <w:t>Pedrozo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Sistema de Segurança Ltda., </w:t>
      </w:r>
      <w:proofErr w:type="spellStart"/>
      <w:r>
        <w:rPr>
          <w:rFonts w:ascii="Arial" w:hAnsi="Arial"/>
          <w:b/>
          <w:bCs/>
          <w:sz w:val="22"/>
          <w:szCs w:val="22"/>
        </w:rPr>
        <w:t>Pedrozo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Sistemas de Monitoramento e Locação Ltda., Escola de Formação e Aperfeiçoamento Profissional de Vigilantes e Segurança </w:t>
      </w:r>
      <w:proofErr w:type="spellStart"/>
      <w:r>
        <w:rPr>
          <w:rFonts w:ascii="Arial" w:hAnsi="Arial"/>
          <w:b/>
          <w:bCs/>
          <w:sz w:val="22"/>
          <w:szCs w:val="22"/>
        </w:rPr>
        <w:t>Pedrozo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Ltda., Vigilância </w:t>
      </w:r>
      <w:proofErr w:type="spellStart"/>
      <w:r>
        <w:rPr>
          <w:rFonts w:ascii="Arial" w:hAnsi="Arial"/>
          <w:b/>
          <w:bCs/>
          <w:sz w:val="22"/>
          <w:szCs w:val="22"/>
        </w:rPr>
        <w:t>Itaqui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Ltda., GR Brasil Gestão de Riscos Ltda., GR Brasil S/A </w:t>
      </w:r>
      <w:r>
        <w:rPr>
          <w:rFonts w:ascii="Arial" w:hAnsi="Arial"/>
          <w:b/>
          <w:bCs/>
          <w:sz w:val="22"/>
          <w:szCs w:val="22"/>
        </w:rPr>
        <w:t xml:space="preserve">Participações, GR Brasil </w:t>
      </w:r>
      <w:proofErr w:type="spellStart"/>
      <w:r>
        <w:rPr>
          <w:rFonts w:ascii="Arial" w:hAnsi="Arial"/>
          <w:b/>
          <w:bCs/>
          <w:sz w:val="22"/>
          <w:szCs w:val="22"/>
        </w:rPr>
        <w:t>Infra-Estrutura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de Serviços Ltda.</w:t>
      </w:r>
      <w:r>
        <w:rPr>
          <w:rFonts w:ascii="Arial" w:hAnsi="Arial"/>
          <w:sz w:val="22"/>
          <w:szCs w:val="22"/>
        </w:rPr>
        <w:t>, empresas já qualificadas, com fulcr</w:t>
      </w:r>
      <w:r>
        <w:rPr>
          <w:rFonts w:ascii="Arial" w:hAnsi="Arial"/>
          <w:sz w:val="22"/>
          <w:szCs w:val="22"/>
        </w:rPr>
        <w:t>o no art. 99, da Lei 11.101/2005, declarando aberta a falência das referidas empresas na data de hoje, às 14 horas e determinando o que segue: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sz w:val="22"/>
          <w:szCs w:val="22"/>
        </w:rPr>
      </w:pPr>
      <w:r>
        <w:rPr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 xml:space="preserve">a) nomeio </w:t>
      </w:r>
      <w:r>
        <w:rPr>
          <w:rFonts w:ascii="Arial" w:hAnsi="Arial"/>
          <w:sz w:val="22"/>
          <w:szCs w:val="22"/>
        </w:rPr>
        <w:t xml:space="preserve">Administrador Judicial o Dr. </w:t>
      </w:r>
      <w:r>
        <w:rPr>
          <w:rFonts w:ascii="Arial" w:hAnsi="Arial"/>
          <w:b/>
          <w:bCs/>
          <w:sz w:val="22"/>
          <w:szCs w:val="22"/>
        </w:rPr>
        <w:t>Adalberto Pacheco</w:t>
      </w:r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b/>
          <w:bCs/>
          <w:sz w:val="22"/>
          <w:szCs w:val="22"/>
        </w:rPr>
        <w:t>Domingues</w:t>
      </w:r>
      <w:r>
        <w:rPr>
          <w:rFonts w:ascii="Arial" w:hAnsi="Arial"/>
          <w:sz w:val="22"/>
          <w:szCs w:val="22"/>
        </w:rPr>
        <w:t xml:space="preserve"> - Administrador da falida Vigilância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Ltda. </w:t>
      </w:r>
      <w:proofErr w:type="gramStart"/>
      <w:r>
        <w:rPr>
          <w:rFonts w:ascii="Arial" w:hAnsi="Arial"/>
          <w:sz w:val="22"/>
          <w:szCs w:val="22"/>
        </w:rPr>
        <w:t>- ,</w:t>
      </w:r>
      <w:proofErr w:type="gramEnd"/>
      <w:r>
        <w:rPr>
          <w:rFonts w:ascii="Arial" w:hAnsi="Arial"/>
          <w:sz w:val="22"/>
          <w:szCs w:val="22"/>
        </w:rPr>
        <w:t xml:space="preserve"> sob compromisso, que deverá ser prestado em 48 horas, atendendo ao disposto no art. 99, IX, da </w:t>
      </w:r>
      <w:proofErr w:type="spellStart"/>
      <w:r>
        <w:rPr>
          <w:rFonts w:ascii="Arial" w:hAnsi="Arial"/>
          <w:sz w:val="22"/>
          <w:szCs w:val="22"/>
        </w:rPr>
        <w:t>LRF</w:t>
      </w:r>
      <w:proofErr w:type="spellEnd"/>
      <w:r>
        <w:rPr>
          <w:rFonts w:ascii="Arial" w:hAnsi="Arial"/>
          <w:sz w:val="22"/>
          <w:szCs w:val="22"/>
        </w:rPr>
        <w:t>;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b) Declaro como termo legal a data de </w:t>
      </w:r>
      <w:r>
        <w:rPr>
          <w:rFonts w:ascii="Arial" w:hAnsi="Arial"/>
          <w:b/>
          <w:bCs/>
          <w:sz w:val="22"/>
          <w:szCs w:val="22"/>
        </w:rPr>
        <w:t>03.06.</w:t>
      </w:r>
      <w:r>
        <w:rPr>
          <w:rFonts w:ascii="Arial" w:hAnsi="Arial"/>
          <w:b/>
          <w:bCs/>
          <w:sz w:val="22"/>
          <w:szCs w:val="22"/>
        </w:rPr>
        <w:t>2008</w:t>
      </w:r>
      <w:r>
        <w:rPr>
          <w:rFonts w:ascii="Arial" w:hAnsi="Arial"/>
          <w:sz w:val="22"/>
          <w:szCs w:val="22"/>
        </w:rPr>
        <w:t xml:space="preserve">, </w:t>
      </w:r>
      <w:r>
        <w:rPr>
          <w:rFonts w:ascii="Arial" w:hAnsi="Arial"/>
          <w:sz w:val="22"/>
          <w:szCs w:val="22"/>
        </w:rPr>
        <w:lastRenderedPageBreak/>
        <w:t xml:space="preserve">correspondente ao termo legal fixado na sentença da Vigilância </w:t>
      </w:r>
      <w:proofErr w:type="spellStart"/>
      <w:r>
        <w:rPr>
          <w:rFonts w:ascii="Arial" w:hAnsi="Arial"/>
          <w:sz w:val="22"/>
          <w:szCs w:val="22"/>
        </w:rPr>
        <w:t>Pedrozo</w:t>
      </w:r>
      <w:proofErr w:type="spellEnd"/>
      <w:r>
        <w:rPr>
          <w:rFonts w:ascii="Arial" w:hAnsi="Arial"/>
          <w:sz w:val="22"/>
          <w:szCs w:val="22"/>
        </w:rPr>
        <w:t xml:space="preserve"> Ltda.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c) intimem-se os sócios da Falida para que cumpram o disposto no art. 99, III, da Lei de Quebras, no prazo de cinco (05) dias, apresentando a relação de credores, bem como a</w:t>
      </w:r>
      <w:r>
        <w:rPr>
          <w:rFonts w:ascii="Arial" w:hAnsi="Arial"/>
          <w:sz w:val="22"/>
          <w:szCs w:val="22"/>
        </w:rPr>
        <w:t>tendam ao disposto no art. 104 do referido diploma legal;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d) fixo o prazo de quinze (15) dias para habilitação dos credores, na forma do artigo 7º, § 1º, c/c art. 99, IV, ambos da atual Lei de Falências, devendo o Administrador Judicial </w:t>
      </w:r>
      <w:proofErr w:type="gramStart"/>
      <w:r>
        <w:rPr>
          <w:rFonts w:ascii="Arial" w:hAnsi="Arial"/>
          <w:sz w:val="22"/>
          <w:szCs w:val="22"/>
        </w:rPr>
        <w:t>apresentar</w:t>
      </w:r>
      <w:proofErr w:type="gramEnd"/>
      <w:r>
        <w:rPr>
          <w:rFonts w:ascii="Arial" w:hAnsi="Arial"/>
          <w:sz w:val="22"/>
          <w:szCs w:val="22"/>
        </w:rPr>
        <w:t xml:space="preserve"> a lista </w:t>
      </w:r>
      <w:r>
        <w:rPr>
          <w:rFonts w:ascii="Arial" w:hAnsi="Arial"/>
          <w:sz w:val="22"/>
          <w:szCs w:val="22"/>
        </w:rPr>
        <w:t>de credores para publicação do edital a que alude o § 2º do mesmo dispositivo legal;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e) suspendam-se as execuções existentes contra as devedoras, inclusive as atinentes aos eventuais sócios solidários porventura existentes, exceto as com </w:t>
      </w:r>
      <w:proofErr w:type="gramStart"/>
      <w:r>
        <w:rPr>
          <w:rFonts w:ascii="Arial" w:hAnsi="Arial"/>
          <w:sz w:val="22"/>
          <w:szCs w:val="22"/>
        </w:rPr>
        <w:t>datas de licitaçõe</w:t>
      </w:r>
      <w:r>
        <w:rPr>
          <w:rFonts w:ascii="Arial" w:hAnsi="Arial"/>
          <w:sz w:val="22"/>
          <w:szCs w:val="22"/>
        </w:rPr>
        <w:t>s já designadas, vindo</w:t>
      </w:r>
      <w:proofErr w:type="gramEnd"/>
      <w:r>
        <w:rPr>
          <w:rFonts w:ascii="Arial" w:hAnsi="Arial"/>
          <w:sz w:val="22"/>
          <w:szCs w:val="22"/>
        </w:rPr>
        <w:t xml:space="preserve"> o produto em benefício da massa, ou aquelas onde houve concurso de litisconsortes passivos, que prosseguirão quanto a estes, bem como os executivos fiscais e ações que demandarem por quantias ilíquidas, atendendo ao disposto no art. </w:t>
      </w:r>
      <w:r>
        <w:rPr>
          <w:rFonts w:ascii="Arial" w:hAnsi="Arial"/>
          <w:sz w:val="22"/>
          <w:szCs w:val="22"/>
        </w:rPr>
        <w:t>6º c/c o art. 99, V, ambos da atual Lei de Quebras;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sz w:val="22"/>
          <w:szCs w:val="22"/>
        </w:rPr>
      </w:pPr>
      <w:r>
        <w:rPr>
          <w:sz w:val="22"/>
          <w:szCs w:val="22"/>
        </w:rPr>
        <w:t> </w:t>
      </w:r>
      <w:r>
        <w:rPr>
          <w:rFonts w:ascii="Arial" w:hAnsi="Arial"/>
          <w:sz w:val="22"/>
          <w:szCs w:val="22"/>
        </w:rPr>
        <w:t xml:space="preserve">f) cumpra a </w:t>
      </w:r>
      <w:proofErr w:type="gramStart"/>
      <w:r>
        <w:rPr>
          <w:rFonts w:ascii="Arial" w:hAnsi="Arial"/>
          <w:sz w:val="22"/>
          <w:szCs w:val="22"/>
        </w:rPr>
        <w:t>Sra.</w:t>
      </w:r>
      <w:proofErr w:type="gramEnd"/>
      <w:r>
        <w:rPr>
          <w:rFonts w:ascii="Arial" w:hAnsi="Arial"/>
          <w:sz w:val="22"/>
          <w:szCs w:val="22"/>
        </w:rPr>
        <w:t xml:space="preserve"> Escrivã as diligências estabelecidas em lei, em especial as dispostas no art. 99, VIII, X, XIII e respectivo parágrafo único do mesmo dispositivo da Lei 11.101/05, procedendo-se as comun</w:t>
      </w:r>
      <w:r>
        <w:rPr>
          <w:rFonts w:ascii="Arial" w:hAnsi="Arial"/>
          <w:sz w:val="22"/>
          <w:szCs w:val="22"/>
        </w:rPr>
        <w:t>icações e intimações de praxe;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g) efetue-se a </w:t>
      </w:r>
      <w:proofErr w:type="spellStart"/>
      <w:r>
        <w:rPr>
          <w:rFonts w:ascii="Arial" w:hAnsi="Arial"/>
          <w:sz w:val="22"/>
          <w:szCs w:val="22"/>
        </w:rPr>
        <w:t>lacração</w:t>
      </w:r>
      <w:proofErr w:type="spellEnd"/>
      <w:r>
        <w:rPr>
          <w:rFonts w:ascii="Arial" w:hAnsi="Arial"/>
          <w:sz w:val="22"/>
          <w:szCs w:val="22"/>
        </w:rPr>
        <w:t xml:space="preserve"> dos estabelecimentos e arrecadem-se os bens das falidas, nos termos do art. 99, XI, e da Lei 11.101/05;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h) oficiem-se aos estabelecimentos bancários para que sejam encerradas as contas das demandadas, </w:t>
      </w:r>
      <w:r>
        <w:rPr>
          <w:rFonts w:ascii="Arial" w:hAnsi="Arial"/>
          <w:sz w:val="22"/>
          <w:szCs w:val="22"/>
        </w:rPr>
        <w:t xml:space="preserve">bem como para que prestem informações quanto aos saldos porventura existentes nas mesmas, na forma do art. 121 da </w:t>
      </w:r>
      <w:proofErr w:type="spellStart"/>
      <w:r>
        <w:rPr>
          <w:rFonts w:ascii="Arial" w:hAnsi="Arial"/>
          <w:sz w:val="22"/>
          <w:szCs w:val="22"/>
        </w:rPr>
        <w:t>LRF</w:t>
      </w:r>
      <w:proofErr w:type="spellEnd"/>
      <w:r>
        <w:rPr>
          <w:rFonts w:ascii="Arial" w:hAnsi="Arial"/>
          <w:sz w:val="22"/>
          <w:szCs w:val="22"/>
        </w:rPr>
        <w:t>;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i) ainda, com base no art. 99, VI, da Lei 11.101/05, determino a indisponibilidade dos bens dos sócios gerentes ou administradores das de</w:t>
      </w:r>
      <w:r>
        <w:rPr>
          <w:rFonts w:ascii="Arial" w:hAnsi="Arial"/>
          <w:sz w:val="22"/>
          <w:szCs w:val="22"/>
        </w:rPr>
        <w:t xml:space="preserve">mandadas pelo prazo de que trata o art. 82, § 1º, do mesmo diploma legal, devendo </w:t>
      </w:r>
      <w:proofErr w:type="gramStart"/>
      <w:r>
        <w:rPr>
          <w:rFonts w:ascii="Arial" w:hAnsi="Arial"/>
          <w:sz w:val="22"/>
          <w:szCs w:val="22"/>
        </w:rPr>
        <w:t>serem</w:t>
      </w:r>
      <w:proofErr w:type="gramEnd"/>
      <w:r>
        <w:rPr>
          <w:rFonts w:ascii="Arial" w:hAnsi="Arial"/>
          <w:sz w:val="22"/>
          <w:szCs w:val="22"/>
        </w:rPr>
        <w:t xml:space="preserve"> oficiados os Registros Imobiliários e Departamento de Trânsito para tanto, com base no art. 99, VII, da </w:t>
      </w:r>
      <w:proofErr w:type="spellStart"/>
      <w:r>
        <w:rPr>
          <w:rFonts w:ascii="Arial" w:hAnsi="Arial"/>
          <w:sz w:val="22"/>
          <w:szCs w:val="22"/>
        </w:rPr>
        <w:t>LRF</w:t>
      </w:r>
      <w:proofErr w:type="spellEnd"/>
      <w:r>
        <w:rPr>
          <w:rFonts w:ascii="Arial" w:hAnsi="Arial"/>
          <w:sz w:val="22"/>
          <w:szCs w:val="22"/>
        </w:rPr>
        <w:t>;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lastRenderedPageBreak/>
        <w:t xml:space="preserve">j) nomeio perito contábil o Sr. </w:t>
      </w:r>
      <w:r>
        <w:rPr>
          <w:rFonts w:ascii="Arial" w:hAnsi="Arial"/>
          <w:b/>
          <w:bCs/>
          <w:sz w:val="22"/>
          <w:szCs w:val="22"/>
        </w:rPr>
        <w:t xml:space="preserve">Carlos </w:t>
      </w:r>
      <w:proofErr w:type="spellStart"/>
      <w:r>
        <w:rPr>
          <w:rFonts w:ascii="Arial" w:hAnsi="Arial"/>
          <w:b/>
          <w:bCs/>
          <w:sz w:val="22"/>
          <w:szCs w:val="22"/>
        </w:rPr>
        <w:t>Herter</w:t>
      </w:r>
      <w:proofErr w:type="spellEnd"/>
      <w:r>
        <w:rPr>
          <w:rFonts w:ascii="Arial" w:hAnsi="Arial"/>
          <w:b/>
          <w:bCs/>
          <w:sz w:val="22"/>
          <w:szCs w:val="22"/>
        </w:rPr>
        <w:t xml:space="preserve"> Cabral</w:t>
      </w:r>
      <w:r>
        <w:rPr>
          <w:rFonts w:ascii="Arial" w:hAnsi="Arial"/>
          <w:sz w:val="22"/>
          <w:szCs w:val="22"/>
        </w:rPr>
        <w:t>, com h</w:t>
      </w:r>
      <w:r>
        <w:rPr>
          <w:rFonts w:ascii="Arial" w:hAnsi="Arial"/>
          <w:sz w:val="22"/>
          <w:szCs w:val="22"/>
        </w:rPr>
        <w:t xml:space="preserve">onorários conforme disposto na Portaria 01/99, desta Vara, e Leiloeiro o </w:t>
      </w:r>
      <w:proofErr w:type="gramStart"/>
      <w:r>
        <w:rPr>
          <w:rFonts w:ascii="Arial" w:hAnsi="Arial"/>
          <w:sz w:val="22"/>
          <w:szCs w:val="22"/>
        </w:rPr>
        <w:t>Sr.</w:t>
      </w:r>
      <w:proofErr w:type="gramEnd"/>
      <w:r>
        <w:rPr>
          <w:rFonts w:ascii="Arial" w:hAnsi="Arial"/>
          <w:sz w:val="22"/>
          <w:szCs w:val="22"/>
        </w:rPr>
        <w:t xml:space="preserve"> </w:t>
      </w:r>
      <w:r>
        <w:rPr>
          <w:rFonts w:ascii="Arial" w:hAnsi="Arial"/>
          <w:b/>
          <w:bCs/>
          <w:sz w:val="22"/>
          <w:szCs w:val="22"/>
        </w:rPr>
        <w:t>Darci Muller</w:t>
      </w:r>
      <w:r>
        <w:rPr>
          <w:rFonts w:ascii="Arial" w:hAnsi="Arial"/>
          <w:sz w:val="22"/>
          <w:szCs w:val="22"/>
        </w:rPr>
        <w:t xml:space="preserve">, o qual deverá sugerir datas para alienação do ativo, </w:t>
      </w:r>
      <w:r>
        <w:rPr>
          <w:rFonts w:ascii="Arial" w:hAnsi="Arial"/>
          <w:i/>
          <w:iCs/>
          <w:sz w:val="22"/>
          <w:szCs w:val="22"/>
        </w:rPr>
        <w:t>oportunamente</w:t>
      </w:r>
      <w:r>
        <w:rPr>
          <w:rFonts w:ascii="Arial" w:hAnsi="Arial"/>
          <w:sz w:val="22"/>
          <w:szCs w:val="22"/>
        </w:rPr>
        <w:t>, atendendo ao disposto no art. 140 da Lei de Quebras.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k) intime-se pessoalmente a Fazenda Nacional</w:t>
      </w:r>
      <w:r>
        <w:rPr>
          <w:rFonts w:ascii="Arial" w:hAnsi="Arial"/>
          <w:sz w:val="22"/>
          <w:szCs w:val="22"/>
        </w:rPr>
        <w:t>;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l) custas na forma disposta no art. 84, III, da Lei 11.101/</w:t>
      </w:r>
      <w:proofErr w:type="gramStart"/>
      <w:r>
        <w:rPr>
          <w:rFonts w:ascii="Arial" w:hAnsi="Arial"/>
          <w:sz w:val="22"/>
          <w:szCs w:val="22"/>
        </w:rPr>
        <w:t>2005</w:t>
      </w:r>
      <w:proofErr w:type="gramEnd"/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m) diante da existência de habilitações suspensas em que foram demandadas empresas do grupo, ora falidas, certifiquem-se esta decisão e prossiga-se nas respectivas ações.</w:t>
      </w:r>
    </w:p>
    <w:p w:rsidR="00270D68" w:rsidRDefault="00AA6EF9">
      <w:pPr>
        <w:pStyle w:val="Textbody"/>
        <w:spacing w:line="360" w:lineRule="auto"/>
        <w:ind w:firstLine="1863"/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Publique-se. Regist</w:t>
      </w:r>
      <w:r>
        <w:rPr>
          <w:rFonts w:ascii="Arial" w:hAnsi="Arial"/>
          <w:sz w:val="22"/>
          <w:szCs w:val="22"/>
        </w:rPr>
        <w:t>re-se. Intimem-se.</w:t>
      </w:r>
    </w:p>
    <w:p w:rsidR="00270D68" w:rsidRDefault="00AA6EF9">
      <w:pPr>
        <w:pStyle w:val="Standard"/>
        <w:autoSpaceDE/>
        <w:spacing w:before="57" w:after="85"/>
        <w:ind w:firstLine="1843"/>
        <w:jc w:val="both"/>
        <w:rPr>
          <w:rFonts w:ascii="Arial, Helvetica" w:eastAsia="Arial, Helvetica" w:hAnsi="Arial, Helvetica" w:cs="Arial, Helvetica"/>
          <w:sz w:val="22"/>
          <w:szCs w:val="22"/>
        </w:rPr>
      </w:pPr>
      <w:r>
        <w:rPr>
          <w:rFonts w:ascii="Arial, Helvetica" w:eastAsia="Arial, Helvetica" w:hAnsi="Arial, Helvetica" w:cs="Arial, Helvetica"/>
          <w:sz w:val="22"/>
          <w:szCs w:val="22"/>
        </w:rPr>
        <w:t>Porto Alegre, 08 de maio de 2012.</w:t>
      </w:r>
    </w:p>
    <w:p w:rsidR="00270D68" w:rsidRDefault="00270D68">
      <w:pPr>
        <w:pStyle w:val="Standard"/>
        <w:autoSpaceDE/>
        <w:spacing w:before="57" w:after="85"/>
        <w:ind w:firstLine="1843"/>
        <w:jc w:val="both"/>
        <w:rPr>
          <w:rFonts w:ascii="Arial, Helvetica" w:eastAsia="Arial, Helvetica" w:hAnsi="Arial, Helvetica" w:cs="Arial, Helvetica"/>
          <w:sz w:val="22"/>
          <w:szCs w:val="22"/>
        </w:rPr>
      </w:pPr>
    </w:p>
    <w:p w:rsidR="00270D68" w:rsidRDefault="00AA6EF9">
      <w:pPr>
        <w:pStyle w:val="Standard"/>
        <w:autoSpaceDE/>
        <w:spacing w:before="57" w:after="85"/>
        <w:ind w:firstLine="1843"/>
        <w:jc w:val="both"/>
        <w:rPr>
          <w:rFonts w:ascii="Arial, Helvetica" w:eastAsia="Arial, Helvetica" w:hAnsi="Arial, Helvetica" w:cs="Arial, Helvetica"/>
          <w:sz w:val="22"/>
          <w:szCs w:val="22"/>
        </w:rPr>
      </w:pPr>
      <w:bookmarkStart w:id="1" w:name="IND_JULGADOR_INICIO"/>
      <w:bookmarkEnd w:id="1"/>
      <w:r>
        <w:rPr>
          <w:rFonts w:ascii="Arial, Helvetica" w:eastAsia="Arial, Helvetica" w:hAnsi="Arial, Helvetica" w:cs="Arial, Helvetica"/>
          <w:sz w:val="22"/>
          <w:szCs w:val="22"/>
        </w:rPr>
        <w:t xml:space="preserve">Lucas </w:t>
      </w:r>
      <w:proofErr w:type="spellStart"/>
      <w:r>
        <w:rPr>
          <w:rFonts w:ascii="Arial, Helvetica" w:eastAsia="Arial, Helvetica" w:hAnsi="Arial, Helvetica" w:cs="Arial, Helvetica"/>
          <w:sz w:val="22"/>
          <w:szCs w:val="22"/>
        </w:rPr>
        <w:t>Maltez</w:t>
      </w:r>
      <w:proofErr w:type="spellEnd"/>
      <w:r>
        <w:rPr>
          <w:rFonts w:ascii="Arial, Helvetica" w:eastAsia="Arial, Helvetica" w:hAnsi="Arial, Helvetica" w:cs="Arial, Helvetica"/>
          <w:sz w:val="22"/>
          <w:szCs w:val="22"/>
        </w:rPr>
        <w:t xml:space="preserve"> </w:t>
      </w:r>
      <w:proofErr w:type="spellStart"/>
      <w:r>
        <w:rPr>
          <w:rFonts w:ascii="Arial, Helvetica" w:eastAsia="Arial, Helvetica" w:hAnsi="Arial, Helvetica" w:cs="Arial, Helvetica"/>
          <w:sz w:val="22"/>
          <w:szCs w:val="22"/>
        </w:rPr>
        <w:t>Kachny</w:t>
      </w:r>
      <w:bookmarkStart w:id="2" w:name="IND_JULGADOR_FIM"/>
      <w:bookmarkEnd w:id="2"/>
      <w:proofErr w:type="spellEnd"/>
      <w:r>
        <w:rPr>
          <w:rFonts w:ascii="Arial, Helvetica" w:eastAsia="Arial, Helvetica" w:hAnsi="Arial, Helvetica" w:cs="Arial, Helvetica"/>
          <w:sz w:val="22"/>
          <w:szCs w:val="22"/>
        </w:rPr>
        <w:t>,</w:t>
      </w:r>
    </w:p>
    <w:p w:rsidR="00270D68" w:rsidRDefault="00AA6EF9">
      <w:pPr>
        <w:pStyle w:val="Standard"/>
        <w:autoSpaceDE/>
        <w:spacing w:before="57" w:after="85"/>
        <w:ind w:firstLine="1843"/>
        <w:jc w:val="both"/>
        <w:rPr>
          <w:rFonts w:ascii="Arial, Helvetica" w:eastAsia="Arial, Helvetica" w:hAnsi="Arial, Helvetica" w:cs="Arial, Helvetica"/>
          <w:sz w:val="22"/>
          <w:szCs w:val="22"/>
        </w:rPr>
      </w:pPr>
      <w:r>
        <w:rPr>
          <w:rFonts w:ascii="Arial, Helvetica" w:eastAsia="Arial, Helvetica" w:hAnsi="Arial, Helvetica" w:cs="Arial, Helvetica"/>
          <w:sz w:val="22"/>
          <w:szCs w:val="22"/>
        </w:rPr>
        <w:t>Juiz Substituto.</w:t>
      </w:r>
    </w:p>
    <w:sectPr w:rsidR="00270D68" w:rsidSect="00270D68">
      <w:headerReference w:type="default" r:id="rId7"/>
      <w:footerReference w:type="default" r:id="rId8"/>
      <w:pgSz w:w="11906" w:h="16838"/>
      <w:pgMar w:top="2223" w:right="1843" w:bottom="2065" w:left="1843" w:header="709" w:footer="99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0D68" w:rsidRDefault="00270D68" w:rsidP="00270D68">
      <w:r>
        <w:separator/>
      </w:r>
    </w:p>
  </w:endnote>
  <w:endnote w:type="continuationSeparator" w:id="0">
    <w:p w:rsidR="00270D68" w:rsidRDefault="00270D68" w:rsidP="00270D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 Helvetica">
    <w:altName w:val="Arial"/>
    <w:charset w:val="00"/>
    <w:family w:val="swiss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D68" w:rsidRDefault="00270D68">
    <w:pPr>
      <w:pStyle w:val="Standard"/>
      <w:tabs>
        <w:tab w:val="center" w:pos="4320"/>
        <w:tab w:val="right" w:pos="8640"/>
      </w:tabs>
      <w:autoSpaceDE/>
      <w:jc w:val="right"/>
      <w:rPr>
        <w:color w:val="808080"/>
        <w:sz w:val="24"/>
        <w:szCs w:val="24"/>
      </w:rPr>
    </w:pPr>
  </w:p>
  <w:tbl>
    <w:tblPr>
      <w:tblW w:w="8220" w:type="dxa"/>
      <w:tblInd w:w="-10" w:type="dxa"/>
      <w:tblLayout w:type="fixed"/>
      <w:tblCellMar>
        <w:left w:w="10" w:type="dxa"/>
        <w:right w:w="10" w:type="dxa"/>
      </w:tblCellMar>
      <w:tblLook w:val="0000"/>
    </w:tblPr>
    <w:tblGrid>
      <w:gridCol w:w="2417"/>
      <w:gridCol w:w="5215"/>
      <w:gridCol w:w="588"/>
    </w:tblGrid>
    <w:tr w:rsidR="00270D68" w:rsidTr="00D15A6A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7632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270D68" w:rsidRDefault="00270D68">
          <w:pPr>
            <w:pStyle w:val="Standard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t xml:space="preserve">    </w:t>
          </w:r>
          <w:bookmarkStart w:id="3" w:name="IND_NUM"/>
          <w:bookmarkEnd w:id="3"/>
        </w:p>
      </w:tc>
      <w:tc>
        <w:tcPr>
          <w:tcW w:w="588" w:type="dxa"/>
          <w:tcMar>
            <w:top w:w="0" w:type="dxa"/>
            <w:left w:w="0" w:type="dxa"/>
            <w:bottom w:w="0" w:type="dxa"/>
            <w:right w:w="0" w:type="dxa"/>
          </w:tcMar>
        </w:tcPr>
        <w:p w:rsidR="00270D68" w:rsidRDefault="00270D68">
          <w:pPr>
            <w:pStyle w:val="Standard"/>
            <w:tabs>
              <w:tab w:val="center" w:pos="4419"/>
              <w:tab w:val="right" w:pos="8838"/>
            </w:tabs>
            <w:autoSpaceDE/>
            <w:spacing w:after="200" w:line="276" w:lineRule="auto"/>
            <w:jc w:val="right"/>
            <w:rPr>
              <w:color w:val="999999"/>
              <w:sz w:val="24"/>
              <w:szCs w:val="24"/>
            </w:rPr>
          </w:pPr>
          <w:r>
            <w:rPr>
              <w:color w:val="999999"/>
              <w:sz w:val="24"/>
              <w:szCs w:val="24"/>
            </w:rPr>
            <w:fldChar w:fldCharType="begin"/>
          </w:r>
          <w:r>
            <w:rPr>
              <w:color w:val="999999"/>
              <w:sz w:val="24"/>
              <w:szCs w:val="24"/>
            </w:rPr>
            <w:instrText xml:space="preserve"> PAGE \* ARABIC </w:instrText>
          </w:r>
          <w:r>
            <w:rPr>
              <w:color w:val="999999"/>
              <w:sz w:val="24"/>
              <w:szCs w:val="24"/>
            </w:rPr>
            <w:fldChar w:fldCharType="separate"/>
          </w:r>
          <w:r w:rsidR="00AA6EF9">
            <w:rPr>
              <w:noProof/>
              <w:color w:val="999999"/>
              <w:sz w:val="24"/>
              <w:szCs w:val="24"/>
            </w:rPr>
            <w:t>1</w:t>
          </w:r>
          <w:r>
            <w:rPr>
              <w:color w:val="999999"/>
              <w:sz w:val="24"/>
              <w:szCs w:val="24"/>
            </w:rPr>
            <w:fldChar w:fldCharType="end"/>
          </w:r>
        </w:p>
      </w:tc>
    </w:tr>
    <w:tr w:rsidR="00270D68" w:rsidTr="00D15A6A">
      <w:tblPrEx>
        <w:tblCellMar>
          <w:top w:w="0" w:type="dxa"/>
          <w:bottom w:w="0" w:type="dxa"/>
        </w:tblCellMar>
      </w:tblPrEx>
      <w:trPr>
        <w:trHeight w:hRule="exact" w:val="283"/>
      </w:trPr>
      <w:tc>
        <w:tcPr>
          <w:tcW w:w="2417" w:type="dxa"/>
          <w:tcMar>
            <w:top w:w="0" w:type="dxa"/>
            <w:left w:w="0" w:type="dxa"/>
            <w:bottom w:w="0" w:type="dxa"/>
            <w:right w:w="0" w:type="dxa"/>
          </w:tcMar>
        </w:tcPr>
        <w:p w:rsidR="00270D68" w:rsidRDefault="00270D68">
          <w:pPr>
            <w:pStyle w:val="Standard"/>
            <w:tabs>
              <w:tab w:val="center" w:pos="4419"/>
              <w:tab w:val="right" w:pos="8838"/>
            </w:tabs>
            <w:rPr>
              <w:color w:val="999999"/>
            </w:rPr>
          </w:pPr>
          <w:r>
            <w:rPr>
              <w:color w:val="999999"/>
              <w:sz w:val="24"/>
              <w:szCs w:val="24"/>
            </w:rPr>
            <w:t xml:space="preserve">   </w:t>
          </w:r>
          <w:r>
            <w:rPr>
              <w:rFonts w:ascii="Arial, Helvetica" w:hAnsi="Arial, Helvetica"/>
              <w:color w:val="999999"/>
              <w:sz w:val="22"/>
              <w:szCs w:val="22"/>
            </w:rPr>
            <w:t>64-1-001/2012/1489569</w:t>
          </w:r>
        </w:p>
      </w:tc>
      <w:tc>
        <w:tcPr>
          <w:tcW w:w="5803" w:type="dxa"/>
          <w:gridSpan w:val="2"/>
          <w:tcMar>
            <w:top w:w="0" w:type="dxa"/>
            <w:left w:w="0" w:type="dxa"/>
            <w:bottom w:w="0" w:type="dxa"/>
            <w:right w:w="0" w:type="dxa"/>
          </w:tcMar>
        </w:tcPr>
        <w:p w:rsidR="00270D68" w:rsidRDefault="00270D68">
          <w:pPr>
            <w:pStyle w:val="Standard"/>
            <w:tabs>
              <w:tab w:val="center" w:pos="4419"/>
              <w:tab w:val="right" w:pos="8838"/>
            </w:tabs>
            <w:autoSpaceDE/>
            <w:spacing w:after="200" w:line="276" w:lineRule="auto"/>
            <w:jc w:val="right"/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</w:pPr>
          <w:proofErr w:type="gramStart"/>
          <w:r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  <w:t>001/1.10.</w:t>
          </w:r>
          <w:proofErr w:type="gramEnd"/>
          <w:r>
            <w:rPr>
              <w:rFonts w:ascii="Arial, Helvetica" w:eastAsia="Arial, Helvetica" w:hAnsi="Arial, Helvetica" w:cs="Arial, Helvetica"/>
              <w:color w:val="999999"/>
              <w:sz w:val="22"/>
              <w:szCs w:val="22"/>
            </w:rPr>
            <w:t>0192122-5 (CNJ:.1921221-86.2010.8.21.0001)</w:t>
          </w:r>
        </w:p>
      </w:tc>
    </w:tr>
  </w:tbl>
  <w:p w:rsidR="00270D68" w:rsidRDefault="00270D68">
    <w:pPr>
      <w:pStyle w:val="Standar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0D68" w:rsidRDefault="00AA6EF9" w:rsidP="00270D68">
      <w:r w:rsidRPr="00270D68">
        <w:rPr>
          <w:color w:val="000000"/>
        </w:rPr>
        <w:separator/>
      </w:r>
    </w:p>
  </w:footnote>
  <w:footnote w:type="continuationSeparator" w:id="0">
    <w:p w:rsidR="00270D68" w:rsidRDefault="00270D68" w:rsidP="00270D6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0D68" w:rsidRDefault="00270D68">
    <w:pPr>
      <w:pStyle w:val="Standard"/>
      <w:tabs>
        <w:tab w:val="center" w:pos="4110"/>
        <w:tab w:val="right" w:pos="8221"/>
      </w:tabs>
      <w:autoSpaceDE/>
      <w:rPr>
        <w:rFonts w:ascii="Arial, Helvetica" w:eastAsia="Arial Unicode MS" w:hAnsi="Arial, Helvetica" w:cs="Tahoma" w:hint="eastAsia"/>
      </w:rPr>
    </w:pPr>
    <w:r>
      <w:rPr>
        <w:rFonts w:ascii="Arial, Helvetica" w:eastAsia="Arial Unicode MS" w:hAnsi="Arial, Helvetica" w:cs="Tahoma"/>
        <w:noProof/>
      </w:rPr>
      <w:drawing>
        <wp:inline distT="0" distB="0" distL="0" distR="0">
          <wp:extent cx="5590440" cy="838080"/>
          <wp:effectExtent l="0" t="0" r="0" b="0"/>
          <wp:docPr id="1" name="figura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alphaModFix/>
                    <a:lum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90440" cy="838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659C8"/>
    <w:multiLevelType w:val="multilevel"/>
    <w:tmpl w:val="199E0DE8"/>
    <w:styleLink w:val="RTFNum2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vlJc w:val="left"/>
      <w:pPr>
        <w:ind w:left="1440" w:hanging="720"/>
      </w:pPr>
    </w:lvl>
    <w:lvl w:ilvl="2">
      <w:start w:val="1"/>
      <w:numFmt w:val="decimal"/>
      <w:lvlText w:val="%3."/>
      <w:lvlJc w:val="left"/>
      <w:pPr>
        <w:ind w:left="2160" w:hanging="720"/>
      </w:pPr>
    </w:lvl>
    <w:lvl w:ilvl="3">
      <w:start w:val="1"/>
      <w:numFmt w:val="lowerLetter"/>
      <w:lvlText w:val="%4)"/>
      <w:lvlJc w:val="left"/>
      <w:pPr>
        <w:ind w:left="2880" w:hanging="720"/>
      </w:pPr>
    </w:lvl>
    <w:lvl w:ilvl="4">
      <w:start w:val="1"/>
      <w:numFmt w:val="decimal"/>
      <w:lvlText w:val="(%5)"/>
      <w:lvlJc w:val="left"/>
      <w:pPr>
        <w:ind w:left="3600" w:hanging="720"/>
      </w:pPr>
    </w:lvl>
    <w:lvl w:ilvl="5">
      <w:start w:val="1"/>
      <w:numFmt w:val="lowerLetter"/>
      <w:lvlText w:val="(%6)"/>
      <w:lvlJc w:val="left"/>
      <w:pPr>
        <w:ind w:left="4320" w:hanging="720"/>
      </w:pPr>
    </w:lvl>
    <w:lvl w:ilvl="6">
      <w:start w:val="1"/>
      <w:numFmt w:val="lowerRoman"/>
      <w:lvlText w:val="(%7)"/>
      <w:lvlJc w:val="left"/>
      <w:pPr>
        <w:ind w:left="5040" w:hanging="720"/>
      </w:pPr>
    </w:lvl>
    <w:lvl w:ilvl="7">
      <w:start w:val="1"/>
      <w:numFmt w:val="lowerLetter"/>
      <w:lvlText w:val="(%8)"/>
      <w:lvlJc w:val="left"/>
      <w:pPr>
        <w:ind w:left="5760" w:hanging="720"/>
      </w:pPr>
    </w:lvl>
    <w:lvl w:ilvl="8">
      <w:start w:val="1"/>
      <w:numFmt w:val="lowerRoman"/>
      <w:lvlText w:val="(%9)"/>
      <w:lvlJc w:val="left"/>
      <w:pPr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70D68"/>
    <w:rsid w:val="00270D68"/>
    <w:rsid w:val="00AA6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kern w:val="3"/>
        <w:sz w:val="24"/>
        <w:szCs w:val="24"/>
        <w:lang w:val="pt-BR" w:eastAsia="pt-BR" w:bidi="pt-BR"/>
      </w:rPr>
    </w:rPrDefault>
    <w:pPrDefault>
      <w:pPr>
        <w:widowControl w:val="0"/>
        <w:suppressAutoHyphens/>
        <w:autoSpaceDE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270D68"/>
    <w:pPr>
      <w:textAlignment w:val="auto"/>
    </w:pPr>
    <w:rPr>
      <w:sz w:val="20"/>
      <w:szCs w:val="20"/>
      <w:lang w:bidi="ar-SA"/>
    </w:rPr>
  </w:style>
  <w:style w:type="paragraph" w:customStyle="1" w:styleId="Textbody">
    <w:name w:val="Text body"/>
    <w:basedOn w:val="Standard"/>
    <w:rsid w:val="00270D68"/>
    <w:pPr>
      <w:spacing w:after="120"/>
    </w:pPr>
  </w:style>
  <w:style w:type="paragraph" w:customStyle="1" w:styleId="Heading">
    <w:name w:val="Heading"/>
    <w:basedOn w:val="Standard"/>
    <w:next w:val="Textbody"/>
    <w:rsid w:val="00270D68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Lista">
    <w:name w:val="List"/>
    <w:basedOn w:val="Textbody"/>
    <w:rsid w:val="00270D68"/>
    <w:rPr>
      <w:rFonts w:ascii="Arial, Helvetica" w:eastAsia="Arial, Helvetica" w:hAnsi="Arial, Helvetica" w:cs="Arial, Helvetica"/>
      <w:sz w:val="24"/>
      <w:szCs w:val="24"/>
    </w:rPr>
  </w:style>
  <w:style w:type="paragraph" w:customStyle="1" w:styleId="Header">
    <w:name w:val="Header"/>
    <w:basedOn w:val="Standard"/>
    <w:rsid w:val="00270D68"/>
    <w:pPr>
      <w:suppressLineNumbers/>
      <w:tabs>
        <w:tab w:val="center" w:pos="4110"/>
        <w:tab w:val="right" w:pos="8220"/>
      </w:tabs>
    </w:pPr>
  </w:style>
  <w:style w:type="paragraph" w:customStyle="1" w:styleId="Footer">
    <w:name w:val="Footer"/>
    <w:basedOn w:val="Standard"/>
    <w:rsid w:val="00270D68"/>
    <w:pPr>
      <w:suppressLineNumbers/>
      <w:tabs>
        <w:tab w:val="center" w:pos="4110"/>
        <w:tab w:val="right" w:pos="8220"/>
      </w:tabs>
    </w:pPr>
  </w:style>
  <w:style w:type="paragraph" w:customStyle="1" w:styleId="TableContents">
    <w:name w:val="Table Contents"/>
    <w:basedOn w:val="Standard"/>
    <w:rsid w:val="00270D68"/>
    <w:pPr>
      <w:suppressLineNumbers/>
    </w:pPr>
  </w:style>
  <w:style w:type="paragraph" w:customStyle="1" w:styleId="TableHeading">
    <w:name w:val="Table Heading"/>
    <w:basedOn w:val="TableContents"/>
    <w:rsid w:val="00270D68"/>
    <w:pPr>
      <w:jc w:val="center"/>
    </w:pPr>
    <w:rPr>
      <w:b/>
      <w:bCs/>
    </w:rPr>
  </w:style>
  <w:style w:type="paragraph" w:customStyle="1" w:styleId="Caption">
    <w:name w:val="Caption"/>
    <w:basedOn w:val="Standard"/>
    <w:rsid w:val="00270D68"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customStyle="1" w:styleId="Index">
    <w:name w:val="Index"/>
    <w:basedOn w:val="Standard"/>
    <w:rsid w:val="00270D68"/>
    <w:pPr>
      <w:suppressLineNumbers/>
    </w:pPr>
    <w:rPr>
      <w:rFonts w:ascii="Arial" w:hAnsi="Arial" w:cs="Tahoma"/>
    </w:rPr>
  </w:style>
  <w:style w:type="paragraph" w:customStyle="1" w:styleId="Headinguser">
    <w:name w:val="Heading (user)"/>
    <w:basedOn w:val="Standard"/>
    <w:next w:val="Textbody"/>
    <w:rsid w:val="00270D68"/>
    <w:pPr>
      <w:keepNext/>
      <w:spacing w:before="240" w:after="120"/>
    </w:pPr>
    <w:rPr>
      <w:rFonts w:ascii="Arial, Helvetica" w:eastAsia="MS Mincho" w:hAnsi="Arial, Helvetica" w:cs="Tahoma"/>
      <w:sz w:val="28"/>
      <w:szCs w:val="28"/>
    </w:rPr>
  </w:style>
  <w:style w:type="paragraph" w:styleId="Legenda">
    <w:name w:val="caption"/>
    <w:basedOn w:val="Standard"/>
    <w:rsid w:val="00270D68"/>
    <w:pPr>
      <w:spacing w:before="120" w:after="120"/>
    </w:pPr>
    <w:rPr>
      <w:rFonts w:ascii="Arial, Helvetica" w:eastAsia="Arial, Helvetica" w:hAnsi="Arial, Helvetica" w:cs="Arial, Helvetica"/>
      <w:i/>
      <w:iCs/>
      <w:sz w:val="24"/>
      <w:szCs w:val="24"/>
    </w:rPr>
  </w:style>
  <w:style w:type="paragraph" w:customStyle="1" w:styleId="Indexuser">
    <w:name w:val="Index (user)"/>
    <w:basedOn w:val="Standard"/>
    <w:rsid w:val="00270D68"/>
    <w:rPr>
      <w:rFonts w:ascii="Arial, Helvetica" w:eastAsia="Arial, Helvetica" w:hAnsi="Arial, Helvetica" w:cs="Arial, Helvetica"/>
      <w:sz w:val="24"/>
      <w:szCs w:val="24"/>
    </w:rPr>
  </w:style>
  <w:style w:type="paragraph" w:styleId="Cabealho">
    <w:name w:val="header"/>
    <w:basedOn w:val="Standard"/>
    <w:rsid w:val="00270D68"/>
    <w:pPr>
      <w:tabs>
        <w:tab w:val="center" w:pos="4110"/>
        <w:tab w:val="right" w:pos="8220"/>
      </w:tabs>
    </w:pPr>
  </w:style>
  <w:style w:type="paragraph" w:styleId="Rodap">
    <w:name w:val="footer"/>
    <w:basedOn w:val="Standard"/>
    <w:rsid w:val="00270D68"/>
    <w:pPr>
      <w:tabs>
        <w:tab w:val="center" w:pos="4110"/>
        <w:tab w:val="right" w:pos="8220"/>
      </w:tabs>
    </w:pPr>
  </w:style>
  <w:style w:type="paragraph" w:customStyle="1" w:styleId="TableContentsuser">
    <w:name w:val="Table Contents (user)"/>
    <w:basedOn w:val="Standard"/>
    <w:rsid w:val="00270D68"/>
  </w:style>
  <w:style w:type="paragraph" w:customStyle="1" w:styleId="TableHeadinguser">
    <w:name w:val="Table Heading (user)"/>
    <w:basedOn w:val="TableContentsuser"/>
    <w:rsid w:val="00270D68"/>
    <w:pPr>
      <w:jc w:val="center"/>
    </w:pPr>
    <w:rPr>
      <w:b/>
      <w:bCs/>
    </w:rPr>
  </w:style>
  <w:style w:type="character" w:customStyle="1" w:styleId="CorpodetextoChar">
    <w:name w:val="Corpo de texto Char"/>
    <w:basedOn w:val="Fontepargpadro"/>
    <w:rsid w:val="00270D68"/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rsid w:val="00270D68"/>
    <w:rPr>
      <w:rFonts w:ascii="Times New Roman" w:eastAsia="Times New Roman" w:hAnsi="Times New Roman" w:cs="Times New Roman"/>
      <w:sz w:val="24"/>
      <w:szCs w:val="24"/>
    </w:rPr>
  </w:style>
  <w:style w:type="character" w:customStyle="1" w:styleId="RodapChar">
    <w:name w:val="Rodapé Char"/>
    <w:basedOn w:val="Fontepargpadro"/>
    <w:rsid w:val="00270D68"/>
    <w:rPr>
      <w:rFonts w:ascii="Times New Roman" w:eastAsia="Times New Roman" w:hAnsi="Times New Roman" w:cs="Times New Roman"/>
      <w:sz w:val="24"/>
      <w:szCs w:val="24"/>
    </w:rPr>
  </w:style>
  <w:style w:type="numbering" w:customStyle="1" w:styleId="RTFNum2">
    <w:name w:val="RTF_Num 2"/>
    <w:basedOn w:val="Semlista"/>
    <w:rsid w:val="00270D68"/>
    <w:pPr>
      <w:numPr>
        <w:numId w:val="1"/>
      </w:numPr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A6EF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A6E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1310</Words>
  <Characters>7080</Characters>
  <Application>Microsoft Office Word</Application>
  <DocSecurity>0</DocSecurity>
  <Lines>59</Lines>
  <Paragraphs>16</Paragraphs>
  <ScaleCrop>false</ScaleCrop>
  <Company/>
  <LinksUpToDate>false</LinksUpToDate>
  <CharactersWithSpaces>8374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Usuário do Windows</cp:lastModifiedBy>
  <cp:revision>2</cp:revision>
  <dcterms:created xsi:type="dcterms:W3CDTF">2013-08-14T18:22:00Z</dcterms:created>
  <dcterms:modified xsi:type="dcterms:W3CDTF">2013-08-14T18:22:00Z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