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0AE" w:rsidRDefault="004D0F45">
      <w:pPr>
        <w:pStyle w:val="Standard"/>
        <w:rPr>
          <w:rFonts w:eastAsia="Arial, Helvetica" w:cs="Arial, Helvetica"/>
          <w:caps/>
        </w:rPr>
      </w:pPr>
      <w:r>
        <w:rPr>
          <w:rFonts w:eastAsia="Arial, Helvetica" w:cs="Arial, Helvetica"/>
          <w:caps/>
        </w:rPr>
        <w:t>Comarca de Porto Alegre</w:t>
      </w:r>
    </w:p>
    <w:p w:rsidR="00D360AE" w:rsidRDefault="004D0F45">
      <w:pPr>
        <w:pStyle w:val="Standard"/>
        <w:rPr>
          <w:rFonts w:eastAsia="Arial, Helvetica" w:cs="Arial, Helvetica"/>
          <w:caps/>
        </w:rPr>
      </w:pPr>
      <w:r>
        <w:rPr>
          <w:rFonts w:eastAsia="Arial, Helvetica" w:cs="Arial, Helvetica"/>
          <w:caps/>
        </w:rPr>
        <w:t>Vara de Direito Empresarial, Recuperação de Empresas e Falências</w:t>
      </w:r>
    </w:p>
    <w:p w:rsidR="00D360AE" w:rsidRDefault="004D0F45">
      <w:pPr>
        <w:pStyle w:val="Standard"/>
        <w:rPr>
          <w:rFonts w:eastAsia="Arial, Helvetica" w:cs="Arial, Helvetica"/>
        </w:rPr>
      </w:pPr>
      <w:r>
        <w:rPr>
          <w:rFonts w:eastAsia="Arial, Helvetica" w:cs="Arial, Helvetica"/>
        </w:rPr>
        <w:t>Rua Manoelito de Ornellas, 50</w:t>
      </w:r>
    </w:p>
    <w:p w:rsidR="00D360AE" w:rsidRDefault="004D0F45">
      <w:pPr>
        <w:pStyle w:val="Standard"/>
        <w:rPr>
          <w:rFonts w:eastAsia="Arial, Helvetica" w:cs="Arial, Helvetica"/>
        </w:rPr>
      </w:pPr>
      <w:r>
        <w:rPr>
          <w:rFonts w:eastAsia="Arial, Helvetica" w:cs="Arial, Helvetica"/>
        </w:rPr>
        <w:t>_________________________________________________________________________</w:t>
      </w:r>
    </w:p>
    <w:p w:rsidR="00D360AE" w:rsidRDefault="00D360AE">
      <w:pPr>
        <w:pStyle w:val="Standard"/>
        <w:rPr>
          <w:rFonts w:eastAsia="Arial, Helvetica" w:cs="Arial, Helvetica"/>
        </w:rPr>
      </w:pPr>
    </w:p>
    <w:tbl>
      <w:tblPr>
        <w:tblW w:w="8290" w:type="dxa"/>
        <w:tblInd w:w="-7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053"/>
        <w:gridCol w:w="6237"/>
      </w:tblGrid>
      <w:tr w:rsidR="00D360AE" w:rsidTr="00D360AE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360AE" w:rsidRDefault="004D0F45">
            <w:pPr>
              <w:pStyle w:val="Standard"/>
              <w:spacing w:before="6" w:after="6"/>
              <w:rPr>
                <w:rFonts w:eastAsia="Arial, Helvetica" w:cs="Arial, Helvetica"/>
                <w:b/>
                <w:bCs/>
              </w:rPr>
            </w:pPr>
            <w:r>
              <w:rPr>
                <w:rFonts w:eastAsia="Arial, Helvetica" w:cs="Arial, Helvetica"/>
                <w:b/>
                <w:bCs/>
              </w:rPr>
              <w:t xml:space="preserve">Processo nº:  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360AE" w:rsidRDefault="004D0F45">
            <w:pPr>
              <w:pStyle w:val="Standard"/>
              <w:spacing w:before="6" w:after="6"/>
              <w:rPr>
                <w:rFonts w:eastAsia="Arial, Helvetica" w:cs="Arial, Helvetica"/>
              </w:rPr>
            </w:pPr>
            <w:r>
              <w:rPr>
                <w:rFonts w:eastAsia="Arial, Helvetica" w:cs="Arial, Helvetica"/>
              </w:rPr>
              <w:t>001/1.13.0217707-0 (CNJ:.0252813-07.2013.8.21.0001)</w:t>
            </w:r>
          </w:p>
        </w:tc>
      </w:tr>
      <w:tr w:rsidR="00D360AE" w:rsidTr="00D360AE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360AE" w:rsidRDefault="004D0F45">
            <w:pPr>
              <w:pStyle w:val="Standard"/>
              <w:spacing w:before="6" w:after="6"/>
              <w:rPr>
                <w:rFonts w:eastAsia="Arial, Helvetica" w:cs="Arial, Helvetica"/>
                <w:b/>
                <w:bCs/>
              </w:rPr>
            </w:pPr>
            <w:r>
              <w:rPr>
                <w:rFonts w:eastAsia="Arial, Helvetica" w:cs="Arial, Helvetica"/>
                <w:b/>
                <w:bCs/>
              </w:rPr>
              <w:t>Natureza: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360AE" w:rsidRDefault="004D0F45">
            <w:pPr>
              <w:pStyle w:val="Standard"/>
              <w:spacing w:before="6" w:after="6"/>
              <w:rPr>
                <w:rFonts w:eastAsia="Arial, Helvetica" w:cs="Arial, Helvetica"/>
              </w:rPr>
            </w:pPr>
            <w:r>
              <w:rPr>
                <w:rFonts w:eastAsia="Arial, Helvetica" w:cs="Arial, Helvetica"/>
              </w:rPr>
              <w:t>Recuperação de Empresa</w:t>
            </w:r>
          </w:p>
        </w:tc>
      </w:tr>
      <w:tr w:rsidR="00D360AE" w:rsidTr="00D360AE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360AE" w:rsidRDefault="004D0F45">
            <w:pPr>
              <w:pStyle w:val="Standard"/>
              <w:spacing w:before="6" w:after="6"/>
              <w:rPr>
                <w:rFonts w:eastAsia="Arial, Helvetica" w:cs="Arial, Helvetica"/>
                <w:b/>
                <w:bCs/>
              </w:rPr>
            </w:pPr>
            <w:r>
              <w:rPr>
                <w:rFonts w:eastAsia="Arial, Helvetica" w:cs="Arial, Helvetica"/>
                <w:b/>
                <w:bCs/>
              </w:rPr>
              <w:t>Autor: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360AE" w:rsidRDefault="004D0F45">
            <w:pPr>
              <w:pStyle w:val="Standard"/>
              <w:spacing w:before="6" w:after="6"/>
              <w:rPr>
                <w:rFonts w:eastAsia="Arial, Helvetica" w:cs="Arial, Helvetica"/>
              </w:rPr>
            </w:pPr>
            <w:r>
              <w:rPr>
                <w:rFonts w:eastAsia="Arial, Helvetica" w:cs="Arial, Helvetica"/>
              </w:rPr>
              <w:t>DUX Experiências Interativas Ltda. - EPP</w:t>
            </w:r>
          </w:p>
          <w:p w:rsidR="00D360AE" w:rsidRDefault="004D0F45">
            <w:pPr>
              <w:pStyle w:val="Standard"/>
              <w:spacing w:after="200"/>
              <w:rPr>
                <w:rFonts w:eastAsia="Arial, Helvetica" w:cs="Arial, Helvetica"/>
              </w:rPr>
            </w:pPr>
            <w:r>
              <w:rPr>
                <w:rFonts w:eastAsia="Arial, Helvetica" w:cs="Arial, Helvetica"/>
              </w:rPr>
              <w:t>DEH Design de Experiências Ltda</w:t>
            </w:r>
            <w:r>
              <w:rPr>
                <w:rFonts w:eastAsia="Arial, Helvetica" w:cs="Arial, Helvetica"/>
              </w:rPr>
              <w:t>. - ME</w:t>
            </w:r>
          </w:p>
        </w:tc>
      </w:tr>
      <w:tr w:rsidR="00D360AE" w:rsidTr="00D360AE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360AE" w:rsidRDefault="004D0F45">
            <w:pPr>
              <w:pStyle w:val="Standard"/>
              <w:spacing w:before="6" w:after="6"/>
              <w:rPr>
                <w:rFonts w:eastAsia="Arial, Helvetica" w:cs="Arial, Helvetica"/>
                <w:b/>
                <w:bCs/>
              </w:rPr>
            </w:pPr>
            <w:r>
              <w:rPr>
                <w:rFonts w:eastAsia="Arial, Helvetica" w:cs="Arial, Helvetica"/>
                <w:b/>
                <w:bCs/>
              </w:rPr>
              <w:t>Réu: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360AE" w:rsidRDefault="004D0F45">
            <w:pPr>
              <w:pStyle w:val="Standard"/>
              <w:spacing w:before="6" w:after="6"/>
              <w:rPr>
                <w:rFonts w:eastAsia="Arial, Helvetica" w:cs="Arial, Helvetica"/>
              </w:rPr>
            </w:pPr>
            <w:r>
              <w:rPr>
                <w:rFonts w:eastAsia="Arial, Helvetica" w:cs="Arial, Helvetica"/>
              </w:rPr>
              <w:t>DUX Experiências Interativas Ltda.</w:t>
            </w:r>
          </w:p>
        </w:tc>
      </w:tr>
      <w:tr w:rsidR="00D360AE" w:rsidTr="00D360AE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360AE" w:rsidRDefault="004D0F45">
            <w:pPr>
              <w:pStyle w:val="Standard"/>
              <w:spacing w:before="6" w:after="6"/>
              <w:rPr>
                <w:rFonts w:eastAsia="Arial, Helvetica" w:cs="Arial, Helvetica"/>
                <w:b/>
                <w:bCs/>
              </w:rPr>
            </w:pPr>
            <w:r>
              <w:rPr>
                <w:rFonts w:eastAsia="Arial, Helvetica" w:cs="Arial, Helvetica"/>
                <w:b/>
                <w:bCs/>
              </w:rPr>
              <w:t>Juiz Prolator: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360AE" w:rsidRDefault="004D0F45">
            <w:pPr>
              <w:pStyle w:val="Standard"/>
              <w:spacing w:before="6" w:after="6"/>
              <w:rPr>
                <w:rFonts w:eastAsia="Arial, Helvetica" w:cs="Arial, Helvetica"/>
              </w:rPr>
            </w:pPr>
            <w:r>
              <w:rPr>
                <w:rFonts w:eastAsia="Arial, Helvetica" w:cs="Arial, Helvetica"/>
              </w:rPr>
              <w:t>Juíza de Direito - Dra. Eliziana da Silveira Perez</w:t>
            </w:r>
          </w:p>
        </w:tc>
      </w:tr>
      <w:tr w:rsidR="00D360AE" w:rsidTr="00D360AE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360AE" w:rsidRDefault="004D0F45">
            <w:pPr>
              <w:pStyle w:val="Standard"/>
              <w:spacing w:before="6" w:after="6"/>
              <w:rPr>
                <w:rFonts w:eastAsia="Arial, Helvetica" w:cs="Arial, Helvetica"/>
                <w:b/>
                <w:bCs/>
              </w:rPr>
            </w:pPr>
            <w:r>
              <w:rPr>
                <w:rFonts w:eastAsia="Arial, Helvetica" w:cs="Arial, Helvetica"/>
                <w:b/>
                <w:bCs/>
              </w:rPr>
              <w:t>Data: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360AE" w:rsidRDefault="004D0F45">
            <w:pPr>
              <w:pStyle w:val="Standard"/>
              <w:spacing w:before="6" w:after="6"/>
              <w:rPr>
                <w:rFonts w:eastAsia="Arial, Helvetica" w:cs="Arial, Helvetica"/>
              </w:rPr>
            </w:pPr>
            <w:r>
              <w:rPr>
                <w:rFonts w:eastAsia="Arial, Helvetica" w:cs="Arial, Helvetica"/>
              </w:rPr>
              <w:t>21/11/2014</w:t>
            </w:r>
          </w:p>
        </w:tc>
      </w:tr>
    </w:tbl>
    <w:p w:rsidR="00D360AE" w:rsidRDefault="004D0F45">
      <w:pPr>
        <w:pStyle w:val="Standard"/>
        <w:spacing w:before="6" w:after="6"/>
        <w:ind w:firstLine="1843"/>
        <w:jc w:val="both"/>
        <w:rPr>
          <w:rFonts w:eastAsia="Arial, Helvetica" w:cs="Arial, Helvetica"/>
          <w:sz w:val="22"/>
          <w:szCs w:val="22"/>
        </w:rPr>
      </w:pPr>
      <w:bookmarkStart w:id="0" w:name="IND_TEXTOSENTENCA_INICIO"/>
      <w:bookmarkEnd w:id="0"/>
      <w:r>
        <w:rPr>
          <w:rFonts w:eastAsia="Arial, Helvetica" w:cs="Arial, Helvetica"/>
          <w:sz w:val="22"/>
          <w:szCs w:val="22"/>
        </w:rPr>
        <w:t xml:space="preserve"> </w:t>
      </w:r>
    </w:p>
    <w:p w:rsidR="00D360AE" w:rsidRDefault="004D0F45">
      <w:pPr>
        <w:pStyle w:val="Standard"/>
        <w:ind w:firstLine="2145"/>
        <w:jc w:val="both"/>
        <w:rPr>
          <w:rFonts w:eastAsia="Arial, Helvetica"/>
          <w:sz w:val="22"/>
          <w:szCs w:val="22"/>
        </w:rPr>
      </w:pPr>
      <w:r>
        <w:rPr>
          <w:rFonts w:eastAsia="Arial, Helvetica"/>
          <w:sz w:val="22"/>
          <w:szCs w:val="22"/>
        </w:rPr>
        <w:t>Vistos, etc.</w:t>
      </w:r>
    </w:p>
    <w:p w:rsidR="00D360AE" w:rsidRDefault="004D0F45">
      <w:pPr>
        <w:pStyle w:val="Standard"/>
        <w:tabs>
          <w:tab w:val="left" w:pos="2835"/>
        </w:tabs>
        <w:ind w:firstLine="2145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b/>
          <w:sz w:val="22"/>
          <w:szCs w:val="22"/>
        </w:rPr>
        <w:t>DUX EXPERIÊNCIAS INTERATIVAS LTDA. - EPP</w:t>
      </w:r>
      <w:r>
        <w:rPr>
          <w:rFonts w:eastAsia="Times New Roman"/>
          <w:sz w:val="22"/>
          <w:szCs w:val="22"/>
        </w:rPr>
        <w:t xml:space="preserve"> e </w:t>
      </w:r>
      <w:r>
        <w:rPr>
          <w:rFonts w:eastAsia="Times New Roman"/>
          <w:b/>
          <w:sz w:val="22"/>
          <w:szCs w:val="22"/>
        </w:rPr>
        <w:t xml:space="preserve">DEH DESIGN DE EXPERIÊNCIAS LTDA. - ME, </w:t>
      </w:r>
      <w:r>
        <w:rPr>
          <w:rFonts w:eastAsia="Times New Roman"/>
          <w:sz w:val="22"/>
          <w:szCs w:val="22"/>
        </w:rPr>
        <w:t>já</w:t>
      </w:r>
      <w:r>
        <w:rPr>
          <w:rFonts w:eastAsia="Times New Roman"/>
          <w:b/>
          <w:sz w:val="22"/>
          <w:szCs w:val="22"/>
        </w:rPr>
        <w:t xml:space="preserve"> </w:t>
      </w:r>
      <w:r>
        <w:rPr>
          <w:rFonts w:eastAsia="Times New Roman"/>
          <w:sz w:val="22"/>
          <w:szCs w:val="22"/>
        </w:rPr>
        <w:t xml:space="preserve">qualificadas, ingressaram perante este Juízo com o presente pedido de </w:t>
      </w:r>
      <w:r>
        <w:rPr>
          <w:rFonts w:eastAsia="Times New Roman"/>
          <w:b/>
          <w:bCs/>
          <w:sz w:val="22"/>
          <w:szCs w:val="22"/>
        </w:rPr>
        <w:t>recuperação de empresa</w:t>
      </w:r>
      <w:r>
        <w:rPr>
          <w:rFonts w:eastAsia="Times New Roman"/>
          <w:sz w:val="22"/>
          <w:szCs w:val="22"/>
        </w:rPr>
        <w:t xml:space="preserve"> em </w:t>
      </w:r>
      <w:r>
        <w:rPr>
          <w:rFonts w:eastAsia="Times New Roman"/>
          <w:b/>
          <w:bCs/>
          <w:sz w:val="22"/>
          <w:szCs w:val="22"/>
        </w:rPr>
        <w:t>06.08.2013</w:t>
      </w:r>
      <w:r>
        <w:rPr>
          <w:rFonts w:eastAsia="Times New Roman"/>
          <w:sz w:val="22"/>
          <w:szCs w:val="22"/>
        </w:rPr>
        <w:t xml:space="preserve"> com o intuito de superar um cenário de crise econômica gerado, em síntese, por “grandes erros” cometidos</w:t>
      </w:r>
      <w:r>
        <w:rPr>
          <w:rFonts w:eastAsia="Times New Roman"/>
          <w:sz w:val="22"/>
          <w:szCs w:val="22"/>
        </w:rPr>
        <w:t xml:space="preserve"> na gestão da sociedade devido ao seu rápido crescimento e falta de exatidão do cenário econômico e financeiro da sociedade, o que gerou um rombo financeiro, inclusive junto à instituições financeiras (fl. 05). Juntaram documentos a fim de instruir o pedid</w:t>
      </w:r>
      <w:r>
        <w:rPr>
          <w:rFonts w:eastAsia="Times New Roman"/>
          <w:sz w:val="22"/>
          <w:szCs w:val="22"/>
        </w:rPr>
        <w:t xml:space="preserve">o às fls. 16/101. O pedido tem fundamento no art. 47 e seguintes da Lei 11.101/05, tendo sido deferido o processamento da recuperação em </w:t>
      </w:r>
      <w:r>
        <w:rPr>
          <w:rFonts w:eastAsia="Times New Roman"/>
          <w:b/>
          <w:bCs/>
          <w:sz w:val="22"/>
          <w:szCs w:val="22"/>
        </w:rPr>
        <w:t xml:space="preserve">28.08.2013 </w:t>
      </w:r>
      <w:r>
        <w:rPr>
          <w:rFonts w:eastAsia="Times New Roman"/>
          <w:sz w:val="22"/>
          <w:szCs w:val="22"/>
        </w:rPr>
        <w:t>(fls.102/103).</w:t>
      </w:r>
    </w:p>
    <w:p w:rsidR="00D360AE" w:rsidRDefault="004D0F45">
      <w:pPr>
        <w:pStyle w:val="Standard"/>
        <w:widowControl/>
        <w:ind w:firstLine="2145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As Recuperandas requereram a exclusão do nome do sócio junto aos órgãos de proteção ao crédit</w:t>
      </w:r>
      <w:r>
        <w:rPr>
          <w:rFonts w:eastAsia="Times New Roman"/>
          <w:sz w:val="22"/>
          <w:szCs w:val="22"/>
        </w:rPr>
        <w:t>o (fl. 105), o que foi indeferido (fl. 122), tendo sido interposto agravo de instrumento (fls. 134/141).</w:t>
      </w:r>
    </w:p>
    <w:p w:rsidR="00D360AE" w:rsidRDefault="004D0F45">
      <w:pPr>
        <w:pStyle w:val="Standard"/>
        <w:widowControl/>
        <w:ind w:firstLine="2145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O plano de recuperação judicial foi apresentado às fls. 149/156, retificado à fl. 169.</w:t>
      </w:r>
    </w:p>
    <w:p w:rsidR="00D360AE" w:rsidRDefault="004D0F45">
      <w:pPr>
        <w:pStyle w:val="Standard"/>
        <w:widowControl/>
        <w:ind w:firstLine="2145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Publicado o edital do art. 52, §1º, às fls. 162/164, bem como o </w:t>
      </w:r>
      <w:r>
        <w:rPr>
          <w:rFonts w:eastAsia="Times New Roman"/>
          <w:sz w:val="22"/>
          <w:szCs w:val="22"/>
        </w:rPr>
        <w:t>edital do §2º do mesmo artigo à fl. 199.</w:t>
      </w:r>
    </w:p>
    <w:p w:rsidR="00D360AE" w:rsidRDefault="004D0F45">
      <w:pPr>
        <w:pStyle w:val="Standard"/>
        <w:widowControl/>
        <w:ind w:firstLine="2145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Oficiado o Juízo Laboral para se abster de praticar atos expropriatórios (fl. 284).</w:t>
      </w:r>
    </w:p>
    <w:p w:rsidR="00D360AE" w:rsidRDefault="004D0F45">
      <w:pPr>
        <w:pStyle w:val="Standard"/>
        <w:widowControl/>
        <w:ind w:firstLine="2145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O Banco Bradesco e Itaú apresentaram objeções ao plano de recuperação (fls. 210/212 e 215/216), com que foi foi designada assemblei</w:t>
      </w:r>
      <w:r>
        <w:rPr>
          <w:rFonts w:eastAsia="Times New Roman"/>
          <w:sz w:val="22"/>
          <w:szCs w:val="22"/>
        </w:rPr>
        <w:t>a geral de credores (fls. 244 e 245).</w:t>
      </w:r>
    </w:p>
    <w:p w:rsidR="00D360AE" w:rsidRDefault="004D0F45">
      <w:pPr>
        <w:pStyle w:val="Standard"/>
        <w:widowControl/>
        <w:ind w:firstLine="2145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Em primeira convocação, não houve quórum para deliberar sobre o plano previsto no art. 37, §2º, da Lei 11.101/05 (fl. 247/249).</w:t>
      </w:r>
    </w:p>
    <w:p w:rsidR="00D360AE" w:rsidRDefault="004D0F45">
      <w:pPr>
        <w:pStyle w:val="Standard"/>
        <w:widowControl/>
        <w:ind w:firstLine="2145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A segunda convocação foi suspensa por deliberação dos credores (fl. 252/253 e 270). Instal</w:t>
      </w:r>
      <w:r>
        <w:rPr>
          <w:rFonts w:eastAsia="Times New Roman"/>
          <w:sz w:val="22"/>
          <w:szCs w:val="22"/>
        </w:rPr>
        <w:t>ada e colhidos os votos dos participantes, os credores Banco Bradesco e Israel Jose Cefrim da Silva votaram pela aprovação (72,85%), enquanto o Banco Itaú votou pela rejeição (27,15%).</w:t>
      </w:r>
    </w:p>
    <w:p w:rsidR="00D360AE" w:rsidRDefault="004D0F45">
      <w:pPr>
        <w:pStyle w:val="Standard"/>
        <w:widowControl/>
        <w:ind w:firstLine="2145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Aprovado, o Administrador requereu a homologação do plano e a concessão</w:t>
      </w:r>
      <w:r>
        <w:rPr>
          <w:rFonts w:eastAsia="Times New Roman"/>
          <w:sz w:val="22"/>
          <w:szCs w:val="22"/>
        </w:rPr>
        <w:t xml:space="preserve"> da recuperação judicial, com fulcro no art. 58 da Lei 11.101/05 (fl. 285).</w:t>
      </w:r>
    </w:p>
    <w:p w:rsidR="00D360AE" w:rsidRDefault="004D0F45">
      <w:pPr>
        <w:pStyle w:val="Standard"/>
        <w:widowControl/>
        <w:ind w:firstLine="2145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O Banco Bradesco impugnou o voto do credor Israel sob os argumentos de que este teria sido sócio da Recuperanda e que não haveria comprovação da origem do crédito (fls. 286/287).</w:t>
      </w:r>
    </w:p>
    <w:p w:rsidR="00D360AE" w:rsidRDefault="004D0F45">
      <w:pPr>
        <w:pStyle w:val="Standard"/>
        <w:widowControl/>
        <w:ind w:firstLine="2145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lastRenderedPageBreak/>
        <w:t>O Administrador entendeu que não haveria óbice em se colher o voto do credor que não é mais sócio da Recuperanda há mais de dois anos, devendo a impugnação ter sido feita no prazo do art. 8º da Lei 11.101/05 (fl. 285).</w:t>
      </w:r>
    </w:p>
    <w:p w:rsidR="00D360AE" w:rsidRDefault="004D0F45">
      <w:pPr>
        <w:pStyle w:val="Standard"/>
        <w:widowControl/>
        <w:ind w:firstLine="2145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O Ministério Público, às fls. 290/290</w:t>
      </w:r>
      <w:r>
        <w:rPr>
          <w:rFonts w:eastAsia="Times New Roman"/>
          <w:sz w:val="22"/>
          <w:szCs w:val="22"/>
        </w:rPr>
        <w:t>v, opinou pelo não acolhimento da impugnação do Banco Bradesco, acompanhando o Administrador Judicial. Emitiu parecer favorável, opinando pela homologação do plano e concessão da recuperação judicial.</w:t>
      </w:r>
    </w:p>
    <w:p w:rsidR="00D360AE" w:rsidRDefault="004D0F45">
      <w:pPr>
        <w:pStyle w:val="Standard"/>
        <w:widowControl/>
        <w:ind w:firstLine="2145"/>
        <w:jc w:val="both"/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É o relatório.</w:t>
      </w:r>
    </w:p>
    <w:p w:rsidR="00D360AE" w:rsidRDefault="004D0F45">
      <w:pPr>
        <w:pStyle w:val="Standard"/>
        <w:widowControl/>
        <w:ind w:firstLine="2145"/>
        <w:jc w:val="both"/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Decido.</w:t>
      </w:r>
    </w:p>
    <w:p w:rsidR="00D360AE" w:rsidRDefault="004D0F45">
      <w:pPr>
        <w:pStyle w:val="Standard"/>
        <w:widowControl/>
        <w:ind w:firstLine="2145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Trata-se de pedido de </w:t>
      </w:r>
      <w:r>
        <w:rPr>
          <w:rFonts w:eastAsia="Times New Roman"/>
          <w:sz w:val="22"/>
          <w:szCs w:val="22"/>
        </w:rPr>
        <w:t xml:space="preserve">recuperação judicial no qual as autoras postulam o benefício previsto no art. 47, da Lei 11.101/2005, para os credores no plano apresentado (fls. 149/156 e 169), com débitos no total de R$ 439.126,23 (quatrocentos e trinta e nove mil, cento e vinte e seis </w:t>
      </w:r>
      <w:r>
        <w:rPr>
          <w:rFonts w:eastAsia="Times New Roman"/>
          <w:sz w:val="22"/>
          <w:szCs w:val="22"/>
        </w:rPr>
        <w:t>reais e vinte e três centavos), como se contata do quadro de credores da fl. 199, sendo este valor composto de R$ 243.624,61 (duzentos e quarenta e três mil seiscentos e vinte e quatro reais e sessenta e um centavos) de credores trabalhistas e de R$ 195.50</w:t>
      </w:r>
      <w:r>
        <w:rPr>
          <w:rFonts w:eastAsia="Times New Roman"/>
          <w:sz w:val="22"/>
          <w:szCs w:val="22"/>
        </w:rPr>
        <w:t>1,62 (cento e noventa e cinco mil, quinhentos e um reais e sessenta e dois centavos) de credores quirografários. Aprovado o plano de pagamento em assembleia geral de credores, o Administrador requereu a homologação do plano e consequente concessão da recup</w:t>
      </w:r>
      <w:r>
        <w:rPr>
          <w:rFonts w:eastAsia="Times New Roman"/>
          <w:sz w:val="22"/>
          <w:szCs w:val="22"/>
        </w:rPr>
        <w:t>eração judicial.</w:t>
      </w:r>
    </w:p>
    <w:p w:rsidR="00D360AE" w:rsidRDefault="004D0F45">
      <w:pPr>
        <w:pStyle w:val="Standard"/>
        <w:widowControl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>Conforme se depreende dos autos, as sociedades empresárias preencheram os requisitos formais para o processamento da ação, sobrevindo a apresentação d</w:t>
      </w:r>
      <w:r>
        <w:rPr>
          <w:sz w:val="22"/>
          <w:szCs w:val="22"/>
        </w:rPr>
        <w:t>e objeções ao pla</w:t>
      </w:r>
      <w:r>
        <w:rPr>
          <w:sz w:val="22"/>
          <w:szCs w:val="22"/>
        </w:rPr>
        <w:t>no de pagamento, com o que foi realizada a assembleia de credores previs</w:t>
      </w:r>
      <w:r>
        <w:rPr>
          <w:sz w:val="22"/>
          <w:szCs w:val="22"/>
        </w:rPr>
        <w:t>ta no art. 36 da Lei 11.101/2005, na qual, em segunda convocação, foi aprovado o plano pela maioria dos credores (</w:t>
      </w:r>
      <w:r>
        <w:rPr>
          <w:rFonts w:eastAsia="Times New Roman"/>
          <w:sz w:val="22"/>
          <w:szCs w:val="22"/>
        </w:rPr>
        <w:t>72,85%).</w:t>
      </w: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>O Administrador requereu a aprovação do plano de pagamento, com a qual concordou o Ministério Público.</w:t>
      </w: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>De início, ressalto a validade</w:t>
      </w:r>
      <w:r>
        <w:rPr>
          <w:sz w:val="22"/>
          <w:szCs w:val="22"/>
        </w:rPr>
        <w:t xml:space="preserve"> da assembleia realizada relativamente a</w:t>
      </w:r>
      <w:r>
        <w:rPr>
          <w:sz w:val="22"/>
          <w:szCs w:val="22"/>
        </w:rPr>
        <w:t xml:space="preserve">o quórum, diante do disposto no art. 37, § 2°, da Lei nº 11.101/05, o qual prevê que a assembleia pode ser instalada, em 2ª convocação, com a presença de qualquer número de credores, tendo o Administrador observado, </w:t>
      </w:r>
      <w:r>
        <w:rPr>
          <w:sz w:val="22"/>
          <w:szCs w:val="22"/>
        </w:rPr>
        <w:t>igualmente, os demais requisitos legais dispostos nos arts. 37/46 da referida Lei.</w:t>
      </w: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>Pelo que se verifica, na assembleia de credores, o plano de pagamento foi aprovado pela maioria dos presentes, em conformidade com o art. 45, §§1º e 2º, da Lei 11.101/05:</w:t>
      </w:r>
    </w:p>
    <w:p w:rsidR="00D360AE" w:rsidRDefault="00D360AE">
      <w:pPr>
        <w:pStyle w:val="Standard"/>
        <w:ind w:firstLine="2145"/>
        <w:jc w:val="both"/>
        <w:rPr>
          <w:sz w:val="22"/>
          <w:szCs w:val="22"/>
        </w:rPr>
      </w:pPr>
    </w:p>
    <w:p w:rsidR="00D360AE" w:rsidRDefault="004D0F45">
      <w:pPr>
        <w:pStyle w:val="Standard"/>
        <w:ind w:left="2265" w:hanging="15"/>
        <w:jc w:val="both"/>
        <w:rPr>
          <w:sz w:val="21"/>
          <w:szCs w:val="21"/>
        </w:rPr>
      </w:pPr>
      <w:r>
        <w:rPr>
          <w:sz w:val="21"/>
          <w:szCs w:val="21"/>
        </w:rPr>
        <w:t>Art. 45. Nas deliberações sobre o plano de recuperação judicial, todas as classes de credores referidas no art. 41 desta Lei deverão aprovar a proposta.</w:t>
      </w:r>
    </w:p>
    <w:p w:rsidR="00D360AE" w:rsidRDefault="004D0F45">
      <w:pPr>
        <w:pStyle w:val="Textbody"/>
        <w:spacing w:after="0"/>
        <w:ind w:left="2265" w:hanging="15"/>
        <w:jc w:val="both"/>
        <w:rPr>
          <w:sz w:val="21"/>
          <w:szCs w:val="21"/>
        </w:rPr>
      </w:pPr>
      <w:r>
        <w:rPr>
          <w:sz w:val="21"/>
          <w:szCs w:val="21"/>
        </w:rPr>
        <w:t>§ 1</w:t>
      </w:r>
      <w:r w:rsidRPr="00D360AE">
        <w:rPr>
          <w:position w:val="7"/>
          <w:sz w:val="21"/>
          <w:szCs w:val="21"/>
          <w:u w:val="single"/>
        </w:rPr>
        <w:t>o</w:t>
      </w:r>
      <w:r>
        <w:rPr>
          <w:sz w:val="21"/>
          <w:szCs w:val="21"/>
        </w:rPr>
        <w:t xml:space="preserve"> Em cada uma das classes referidas nos incisos II e III do art. 41 desta Lei, a proposta deverá ser</w:t>
      </w:r>
      <w:r>
        <w:rPr>
          <w:sz w:val="21"/>
          <w:szCs w:val="21"/>
        </w:rPr>
        <w:t xml:space="preserve"> </w:t>
      </w:r>
      <w:r>
        <w:rPr>
          <w:sz w:val="21"/>
          <w:szCs w:val="21"/>
          <w:u w:val="single"/>
        </w:rPr>
        <w:t xml:space="preserve">aprovada por credores que representem mais da metade do valor total dos créditos </w:t>
      </w:r>
      <w:r>
        <w:rPr>
          <w:i/>
          <w:iCs/>
          <w:sz w:val="21"/>
          <w:szCs w:val="21"/>
          <w:u w:val="single"/>
        </w:rPr>
        <w:t>presentes</w:t>
      </w:r>
      <w:r>
        <w:rPr>
          <w:sz w:val="21"/>
          <w:szCs w:val="21"/>
          <w:u w:val="single"/>
        </w:rPr>
        <w:t xml:space="preserve"> à assembléia (sic)</w:t>
      </w:r>
      <w:r>
        <w:rPr>
          <w:sz w:val="21"/>
          <w:szCs w:val="21"/>
        </w:rPr>
        <w:t xml:space="preserve"> e, cumulativamente, pela maioria simples dos credores presentes.</w:t>
      </w:r>
    </w:p>
    <w:p w:rsidR="00D360AE" w:rsidRDefault="004D0F45">
      <w:pPr>
        <w:pStyle w:val="Textbody"/>
        <w:spacing w:after="0"/>
        <w:ind w:left="2265" w:hanging="15"/>
        <w:jc w:val="both"/>
        <w:rPr>
          <w:color w:val="000000"/>
          <w:sz w:val="21"/>
          <w:szCs w:val="21"/>
        </w:rPr>
      </w:pPr>
      <w:bookmarkStart w:id="1" w:name="art45§2."/>
      <w:bookmarkEnd w:id="1"/>
      <w:r>
        <w:rPr>
          <w:color w:val="000000"/>
          <w:sz w:val="21"/>
          <w:szCs w:val="21"/>
        </w:rPr>
        <w:t>§ 2</w:t>
      </w:r>
      <w:r w:rsidRPr="00D360AE">
        <w:rPr>
          <w:color w:val="000000"/>
          <w:position w:val="7"/>
          <w:sz w:val="21"/>
          <w:szCs w:val="21"/>
          <w:u w:val="single"/>
        </w:rPr>
        <w:t>o</w:t>
      </w:r>
      <w:r>
        <w:rPr>
          <w:color w:val="000000"/>
          <w:sz w:val="21"/>
          <w:szCs w:val="21"/>
        </w:rPr>
        <w:t xml:space="preserve"> Nas classes previstas nos incisos I e IV do art. 41 desta Lei, a proposta deverá ser </w:t>
      </w:r>
      <w:r>
        <w:rPr>
          <w:color w:val="000000"/>
          <w:sz w:val="21"/>
          <w:szCs w:val="21"/>
          <w:u w:val="single"/>
        </w:rPr>
        <w:t xml:space="preserve">aprovada pela maioria simples dos credores </w:t>
      </w:r>
      <w:r>
        <w:rPr>
          <w:i/>
          <w:iCs/>
          <w:color w:val="000000"/>
          <w:sz w:val="21"/>
          <w:szCs w:val="21"/>
          <w:u w:val="single"/>
        </w:rPr>
        <w:t>presente</w:t>
      </w:r>
      <w:r>
        <w:rPr>
          <w:color w:val="000000"/>
          <w:sz w:val="21"/>
          <w:szCs w:val="21"/>
          <w:u w:val="single"/>
        </w:rPr>
        <w:t>s</w:t>
      </w:r>
      <w:r>
        <w:rPr>
          <w:color w:val="000000"/>
          <w:sz w:val="21"/>
          <w:szCs w:val="21"/>
        </w:rPr>
        <w:t xml:space="preserve">, independentemente do valor </w:t>
      </w:r>
      <w:r>
        <w:rPr>
          <w:color w:val="000000"/>
          <w:sz w:val="21"/>
          <w:szCs w:val="21"/>
        </w:rPr>
        <w:t>de seu crédito.</w:t>
      </w:r>
    </w:p>
    <w:p w:rsidR="00D360AE" w:rsidRDefault="004D0F45">
      <w:pPr>
        <w:pStyle w:val="Textbody"/>
        <w:spacing w:after="0"/>
        <w:ind w:left="2265" w:hanging="15"/>
        <w:jc w:val="both"/>
        <w:rPr>
          <w:sz w:val="21"/>
          <w:szCs w:val="21"/>
        </w:rPr>
      </w:pPr>
      <w:r>
        <w:rPr>
          <w:sz w:val="21"/>
          <w:szCs w:val="21"/>
        </w:rPr>
        <w:lastRenderedPageBreak/>
        <w:t>(…)</w:t>
      </w:r>
    </w:p>
    <w:p w:rsidR="00D360AE" w:rsidRDefault="00D360AE">
      <w:pPr>
        <w:pStyle w:val="Textbody"/>
        <w:spacing w:after="0"/>
        <w:ind w:left="2265" w:hanging="15"/>
        <w:jc w:val="both"/>
        <w:rPr>
          <w:sz w:val="21"/>
          <w:szCs w:val="21"/>
        </w:rPr>
      </w:pP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>Assim, está-se diante de situação em que se impõe a aprovação do plano de recuperação</w:t>
      </w:r>
      <w:r>
        <w:rPr>
          <w:sz w:val="21"/>
          <w:szCs w:val="21"/>
        </w:rPr>
        <w:t>.</w:t>
      </w: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>No presente caso, o plano aprovado prevê o pagamento dos credores da seguinte forma:</w:t>
      </w: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Credores Trabalhistas: deságio de 50% do valor consolidado </w:t>
      </w:r>
      <w:r>
        <w:rPr>
          <w:sz w:val="22"/>
          <w:szCs w:val="22"/>
        </w:rPr>
        <w:t>pela Justiça do Trabalho, carência de 6 meses para o início dos pagamentos, adimplemento em 6 parcelas fixas mensais, correção monetária pelo IGP-M e juros de 1% ao mês;</w:t>
      </w: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>b) Credores Quirografários: sem deságio, carência de 12 meses para início dos pagament</w:t>
      </w:r>
      <w:r>
        <w:rPr>
          <w:sz w:val="22"/>
          <w:szCs w:val="22"/>
        </w:rPr>
        <w:t>os, a contar da decisão de aprovação do plano, adimplemento em 36 parcelas mensais, correção pela TR e juros de 1% ao mês.</w:t>
      </w: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>Como, com propriedade ponderou o Administrador Judicial e Ministério Públicos em suas manifestações de fls. 285 e 290,respectivamente</w:t>
      </w:r>
      <w:r>
        <w:rPr>
          <w:sz w:val="22"/>
          <w:szCs w:val="22"/>
        </w:rPr>
        <w:t xml:space="preserve">,  não há fundamento legal ou jurídico para o acolhimento da impugnação apresentada pelo Banco Bradesco. Primeiro, porque o credor José Cefrin da Silva está legitimamente autorizado a exercer o direito de voto como credor, pois embora tenha sido sócio, já </w:t>
      </w:r>
      <w:r>
        <w:rPr>
          <w:sz w:val="22"/>
          <w:szCs w:val="22"/>
        </w:rPr>
        <w:t>não mais faz parte da sociedade há mais de dois anos, consignando que sua saída (18/11/2011) se deu bem antes do ajuizamento da presente recuperação, e, por segundo, preclusa a possibilidade de discussão acerca da origem de seu crédito, pois constante da r</w:t>
      </w:r>
      <w:r>
        <w:rPr>
          <w:sz w:val="22"/>
          <w:szCs w:val="22"/>
        </w:rPr>
        <w:t>elação prevista no §2º, do art. 7º , tendo decorrido o prazo previsto no art. 8º, ambos da Lei 11.101/2005.</w:t>
      </w:r>
    </w:p>
    <w:p w:rsidR="00D360AE" w:rsidRDefault="00D360AE">
      <w:pPr>
        <w:pStyle w:val="Standard"/>
        <w:ind w:firstLine="2145"/>
        <w:jc w:val="both"/>
        <w:rPr>
          <w:sz w:val="22"/>
          <w:szCs w:val="22"/>
        </w:rPr>
      </w:pP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>Relativamente à apresentação das certidões negativas de débitos tributários, não obstante a apresentação das certidões negativas esteja regularmen</w:t>
      </w:r>
      <w:r>
        <w:rPr>
          <w:sz w:val="22"/>
          <w:szCs w:val="22"/>
        </w:rPr>
        <w:t>te prevista no art.</w:t>
      </w:r>
      <w:r>
        <w:rPr>
          <w:sz w:val="22"/>
          <w:szCs w:val="22"/>
        </w:rPr>
        <w:t xml:space="preserve"> 57, da Lei 11.101/2005, deve ser afastada a sua exigibilidade como condição para a homologação do plano de pagamento e a concessão da recuperação. Com efeito, a própria Lei 11.101/2005 estabelece no seu art. 6º, § 7º, a não sujeição das</w:t>
      </w:r>
      <w:r>
        <w:rPr>
          <w:sz w:val="22"/>
          <w:szCs w:val="22"/>
        </w:rPr>
        <w:t xml:space="preserve"> execuções fiscais ao plano de recuperação judicial, podendo estas prosseguirem normalmente nos respectivos Juízos, situação também retratada no art. 187, do CTN e no art. 29, da Lei 6.830/80.</w:t>
      </w: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>Ainda</w:t>
      </w:r>
      <w:r>
        <w:rPr>
          <w:i/>
          <w:iCs/>
          <w:sz w:val="22"/>
          <w:szCs w:val="22"/>
        </w:rPr>
        <w:t xml:space="preserve">, </w:t>
      </w:r>
      <w:r>
        <w:rPr>
          <w:sz w:val="22"/>
          <w:szCs w:val="22"/>
        </w:rPr>
        <w:t>o art. 68 da mesma Lei refere que as Fazendas Públicas</w:t>
      </w:r>
      <w:r>
        <w:rPr>
          <w:sz w:val="22"/>
          <w:szCs w:val="22"/>
        </w:rPr>
        <w:t xml:space="preserve"> e</w:t>
      </w:r>
      <w:r>
        <w:rPr>
          <w:sz w:val="22"/>
          <w:szCs w:val="22"/>
        </w:rPr>
        <w:t xml:space="preserve"> o INSS “poderão deferir, nos termos da legislação específica, parcelamento de seus créditos (...)”</w:t>
      </w:r>
      <w:r>
        <w:rPr>
          <w:i/>
          <w:iCs/>
          <w:sz w:val="22"/>
          <w:szCs w:val="22"/>
        </w:rPr>
        <w:t xml:space="preserve">, </w:t>
      </w:r>
      <w:r>
        <w:rPr>
          <w:sz w:val="22"/>
          <w:szCs w:val="22"/>
        </w:rPr>
        <w:t>o que reforça a necessidade da flexibilização do comando do art. 57 da Lei 11.101/05</w:t>
      </w:r>
      <w:r>
        <w:rPr>
          <w:i/>
          <w:iCs/>
          <w:sz w:val="22"/>
          <w:szCs w:val="22"/>
        </w:rPr>
        <w:t xml:space="preserve">. </w:t>
      </w:r>
      <w:r>
        <w:rPr>
          <w:sz w:val="22"/>
          <w:szCs w:val="22"/>
        </w:rPr>
        <w:t xml:space="preserve">No entanto, apenas relativamente aos créditos da Fazenda </w:t>
      </w:r>
      <w:r>
        <w:rPr>
          <w:sz w:val="22"/>
          <w:szCs w:val="22"/>
        </w:rPr>
        <w:t>Pública Esta</w:t>
      </w:r>
      <w:r>
        <w:rPr>
          <w:sz w:val="22"/>
          <w:szCs w:val="22"/>
        </w:rPr>
        <w:t>dual existe regulamentação (Instrução Normativa RE nº084/13, publicada do DOE 04/10/2013)</w:t>
      </w:r>
      <w:r>
        <w:rPr>
          <w:sz w:val="22"/>
          <w:szCs w:val="22"/>
        </w:rPr>
        <w:t>, inexistindo em relação aos demais. Em relação à esfera Federal e Municipal, a falta de regulamentação tem servido de</w:t>
      </w:r>
      <w:r>
        <w:rPr>
          <w:sz w:val="22"/>
          <w:szCs w:val="22"/>
        </w:rPr>
        <w:t xml:space="preserve"> parâmetro, também, para a dispensa da exigência </w:t>
      </w:r>
      <w:r>
        <w:rPr>
          <w:sz w:val="22"/>
          <w:szCs w:val="22"/>
        </w:rPr>
        <w:t>das certidões negativas de débito tributário.</w:t>
      </w: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Na jurisprudência, observo que os Tribunais (São Paulo, Rio de Janeiro, Mato Grosso e Rio Grande do Sul) têm afastado, por unanimidade, a necessidade de apresentação de certidões negativas de débito pelas soc</w:t>
      </w:r>
      <w:r>
        <w:rPr>
          <w:sz w:val="22"/>
          <w:szCs w:val="22"/>
        </w:rPr>
        <w:t>iedades empresárias, a fim de que possa ocorrer a homologação do plano de pagamento.</w:t>
      </w: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Desta forma, estando evidenciado que as Fazendas Públicas podem prosseguir na cobrança dos créditos tributários, não se mostra coerente que seja obstada a concessão de </w:t>
      </w:r>
      <w:r>
        <w:rPr>
          <w:sz w:val="22"/>
          <w:szCs w:val="22"/>
        </w:rPr>
        <w:t xml:space="preserve">recuperação, sob pena de inviabilizar a preservação da empresa, dos empregos e dos próprios interesses dos credores, objetivos </w:t>
      </w:r>
      <w:r>
        <w:rPr>
          <w:sz w:val="22"/>
          <w:szCs w:val="22"/>
        </w:rPr>
        <w:lastRenderedPageBreak/>
        <w:t>norteadores do instituto da recuperação judicial, conforme disposto no art. 47, da Lei 11.101/2005, restando, portanto, dispensad</w:t>
      </w:r>
      <w:r>
        <w:rPr>
          <w:sz w:val="22"/>
          <w:szCs w:val="22"/>
        </w:rPr>
        <w:t>a a apresentação das certidões negativas de débitos tributários.</w:t>
      </w: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>Diante do acima exposto, viável a concessão da recuperação, ficando as devedoras em recuperação até que se cumpram todas as obrigações previstas no plano que se vencerem até 2 (dois) anos des</w:t>
      </w:r>
      <w:r>
        <w:rPr>
          <w:sz w:val="22"/>
          <w:szCs w:val="22"/>
        </w:rPr>
        <w:t>ta decisão, conforme disposto no art. 61, da Lei 11.101/2005.</w:t>
      </w: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>Fixo os honorários do Administrad</w:t>
      </w:r>
      <w:r>
        <w:rPr>
          <w:sz w:val="22"/>
          <w:szCs w:val="22"/>
        </w:rPr>
        <w:t>or em 2% do valor devido aos credores submetidos à recuperação judicia, com fulcro no art. 24, §5º, incluída pela Lei Complementar nº 147/14, por se tratar de mi</w:t>
      </w:r>
      <w:r>
        <w:rPr>
          <w:sz w:val="22"/>
          <w:szCs w:val="22"/>
        </w:rPr>
        <w:t>croempresa e empresa de pequeno porte. Os honorários devem ser pagos de imediato pel</w:t>
      </w:r>
      <w:r>
        <w:rPr>
          <w:sz w:val="22"/>
          <w:szCs w:val="22"/>
        </w:rPr>
        <w:t xml:space="preserve">as Recuperandas até o percentual de 60%, sendo que os 40% restantes deverão ser pagos na forma prevista no art. 63, I, da Lei 11.101/2005. Faculto o convencionamento entre </w:t>
      </w:r>
      <w:r>
        <w:rPr>
          <w:sz w:val="22"/>
          <w:szCs w:val="22"/>
        </w:rPr>
        <w:t>as Recuperandas e o Administrador Judicial para o pagamento parcelado dos honorários iniciais devidos, mediante comunicação aos autos.</w:t>
      </w: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ANTE O EXPOSTO, uma vez que cumpridas as exigências da Lei 11.101/05, </w:t>
      </w:r>
      <w:r>
        <w:rPr>
          <w:b/>
          <w:bCs/>
          <w:sz w:val="22"/>
          <w:szCs w:val="22"/>
        </w:rPr>
        <w:t>CONCEDO A RECUPERAÇÃO JUDICIAL</w:t>
      </w:r>
      <w:r>
        <w:rPr>
          <w:sz w:val="22"/>
          <w:szCs w:val="22"/>
        </w:rPr>
        <w:t xml:space="preserve"> na forma do plano ap</w:t>
      </w:r>
      <w:r>
        <w:rPr>
          <w:sz w:val="22"/>
          <w:szCs w:val="22"/>
        </w:rPr>
        <w:t>resentado às fls.</w:t>
      </w:r>
      <w:r>
        <w:rPr>
          <w:sz w:val="22"/>
          <w:szCs w:val="22"/>
        </w:rPr>
        <w:t xml:space="preserve"> </w:t>
      </w:r>
      <w:r>
        <w:rPr>
          <w:rFonts w:eastAsia="Times New Roman"/>
          <w:sz w:val="22"/>
          <w:szCs w:val="22"/>
        </w:rPr>
        <w:t>149/156 e fl. 169 e do deliberado em Assembleia Geral de Credores (fls. 286/287)</w:t>
      </w:r>
      <w:r>
        <w:rPr>
          <w:sz w:val="22"/>
          <w:szCs w:val="22"/>
        </w:rPr>
        <w:t>, com</w:t>
      </w:r>
      <w:r>
        <w:rPr>
          <w:sz w:val="22"/>
          <w:szCs w:val="22"/>
        </w:rPr>
        <w:t xml:space="preserve"> base no art. 58, da Lei 11.101/2005.</w:t>
      </w:r>
    </w:p>
    <w:p w:rsidR="00D360AE" w:rsidRDefault="004D0F45">
      <w:pPr>
        <w:pStyle w:val="Standard"/>
        <w:ind w:firstLine="214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Tendo em vista a recente regulamentação relativa a débitos junto à Fazenda Estadual </w:t>
      </w:r>
      <w:r>
        <w:rPr>
          <w:sz w:val="22"/>
          <w:szCs w:val="22"/>
        </w:rPr>
        <w:t>(Instrução Normativa RE nº 84/1</w:t>
      </w:r>
      <w:r>
        <w:rPr>
          <w:sz w:val="22"/>
          <w:szCs w:val="22"/>
        </w:rPr>
        <w:t>3, publicada do DOE 04/10/2013)</w:t>
      </w:r>
      <w:r w:rsidRPr="00D360AE">
        <w:rPr>
          <w:rStyle w:val="Refdenotaderodap"/>
          <w:sz w:val="22"/>
          <w:szCs w:val="22"/>
        </w:rPr>
        <w:footnoteReference w:id="1"/>
      </w:r>
      <w:r>
        <w:rPr>
          <w:sz w:val="22"/>
          <w:szCs w:val="22"/>
        </w:rPr>
        <w:t>, d</w:t>
      </w:r>
      <w:r>
        <w:rPr>
          <w:sz w:val="22"/>
          <w:szCs w:val="22"/>
        </w:rPr>
        <w:t>efiro o prazo de</w:t>
      </w:r>
      <w:r>
        <w:rPr>
          <w:b/>
          <w:bCs/>
          <w:sz w:val="22"/>
          <w:szCs w:val="22"/>
        </w:rPr>
        <w:t xml:space="preserve"> 90 dias </w:t>
      </w:r>
      <w:r>
        <w:rPr>
          <w:sz w:val="22"/>
          <w:szCs w:val="22"/>
        </w:rPr>
        <w:t>para que as Recuperandas providenciem o parcelamento de eventual dívida.</w:t>
      </w:r>
    </w:p>
    <w:p w:rsidR="00D360AE" w:rsidRDefault="004D0F45">
      <w:pPr>
        <w:pStyle w:val="Standard"/>
        <w:ind w:firstLine="2145"/>
        <w:jc w:val="both"/>
        <w:rPr>
          <w:rFonts w:eastAsia="Arial, Helvetica" w:cs="Arial, Helvetica"/>
          <w:sz w:val="22"/>
          <w:szCs w:val="22"/>
          <w:shd w:val="clear" w:color="auto" w:fill="00DCFF"/>
        </w:rPr>
      </w:pPr>
      <w:r>
        <w:rPr>
          <w:rFonts w:eastAsia="Arial, Helvetica" w:cs="Arial, Helvetica"/>
          <w:sz w:val="22"/>
          <w:szCs w:val="22"/>
        </w:rPr>
        <w:t>Custas ao final.</w:t>
      </w:r>
    </w:p>
    <w:p w:rsidR="00D360AE" w:rsidRDefault="004D0F45">
      <w:pPr>
        <w:pStyle w:val="Standard"/>
        <w:widowControl/>
        <w:ind w:firstLine="2145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Homologo o Quadro Geral de Credores, já publicado</w:t>
      </w:r>
      <w:r>
        <w:rPr>
          <w:rFonts w:eastAsia="Times New Roman"/>
          <w:sz w:val="22"/>
          <w:szCs w:val="22"/>
        </w:rPr>
        <w:t xml:space="preserve"> (fl. 199).</w:t>
      </w:r>
    </w:p>
    <w:p w:rsidR="00D360AE" w:rsidRDefault="004D0F45">
      <w:pPr>
        <w:pStyle w:val="Standard"/>
        <w:ind w:firstLine="2145"/>
        <w:jc w:val="both"/>
        <w:rPr>
          <w:rFonts w:eastAsia="Arial, Helvetica" w:cs="Arial, Helvetica"/>
          <w:sz w:val="22"/>
          <w:szCs w:val="22"/>
        </w:rPr>
      </w:pPr>
      <w:r>
        <w:rPr>
          <w:rFonts w:eastAsia="Arial, Helvetica" w:cs="Arial, Helvetica"/>
          <w:sz w:val="22"/>
          <w:szCs w:val="22"/>
        </w:rPr>
        <w:t>Publique-se. Registre-se. Intimem-se.</w:t>
      </w:r>
    </w:p>
    <w:p w:rsidR="00D360AE" w:rsidRDefault="004D0F45">
      <w:pPr>
        <w:pStyle w:val="Standard"/>
        <w:ind w:firstLine="2145"/>
        <w:jc w:val="both"/>
        <w:rPr>
          <w:rFonts w:eastAsia="Arial, Helvetica" w:cs="Arial, Helvetica"/>
          <w:sz w:val="22"/>
          <w:szCs w:val="22"/>
        </w:rPr>
      </w:pPr>
      <w:r>
        <w:rPr>
          <w:rFonts w:eastAsia="Arial, Helvetica" w:cs="Arial, Helvetica"/>
          <w:sz w:val="22"/>
          <w:szCs w:val="22"/>
        </w:rPr>
        <w:t>Porto Alegre, 21 de novembro de 2014.</w:t>
      </w:r>
    </w:p>
    <w:p w:rsidR="00D360AE" w:rsidRDefault="00D360AE">
      <w:pPr>
        <w:pStyle w:val="Standard"/>
        <w:jc w:val="center"/>
        <w:rPr>
          <w:rFonts w:eastAsia="Arial, Helvetica" w:cs="Arial, Helvetica"/>
          <w:sz w:val="22"/>
          <w:szCs w:val="22"/>
        </w:rPr>
      </w:pPr>
    </w:p>
    <w:p w:rsidR="00D360AE" w:rsidRDefault="004D0F45">
      <w:pPr>
        <w:pStyle w:val="Standard"/>
        <w:jc w:val="center"/>
        <w:rPr>
          <w:rFonts w:eastAsia="Arial, Helvetica" w:cs="Arial, Helvetica"/>
          <w:sz w:val="22"/>
          <w:szCs w:val="22"/>
        </w:rPr>
      </w:pPr>
      <w:bookmarkStart w:id="2" w:name="IND_JULGADOR_INICIO"/>
      <w:bookmarkEnd w:id="2"/>
      <w:r>
        <w:rPr>
          <w:rFonts w:eastAsia="Arial, Helvetica" w:cs="Arial, Helvetica"/>
          <w:sz w:val="22"/>
          <w:szCs w:val="22"/>
        </w:rPr>
        <w:t>Eliziana da Silveira Perez</w:t>
      </w:r>
      <w:bookmarkStart w:id="3" w:name="IND_JULGADOR_FIM"/>
      <w:bookmarkEnd w:id="3"/>
      <w:r>
        <w:rPr>
          <w:rFonts w:eastAsia="Arial, Helvetica" w:cs="Arial, Helvetica"/>
          <w:sz w:val="22"/>
          <w:szCs w:val="22"/>
        </w:rPr>
        <w:t>,</w:t>
      </w:r>
    </w:p>
    <w:p w:rsidR="00D360AE" w:rsidRDefault="004D0F45">
      <w:pPr>
        <w:pStyle w:val="Standard"/>
        <w:jc w:val="center"/>
        <w:rPr>
          <w:rFonts w:eastAsia="Arial, Helvetica" w:cs="Arial, Helvetica"/>
          <w:sz w:val="22"/>
          <w:szCs w:val="22"/>
        </w:rPr>
      </w:pPr>
      <w:r>
        <w:rPr>
          <w:rFonts w:eastAsia="Arial, Helvetica" w:cs="Arial, Helvetica"/>
          <w:sz w:val="22"/>
          <w:szCs w:val="22"/>
        </w:rPr>
        <w:t>Juíza de Direito</w:t>
      </w:r>
    </w:p>
    <w:sectPr w:rsidR="00D360AE" w:rsidSect="00D360AE">
      <w:headerReference w:type="default" r:id="rId7"/>
      <w:footerReference w:type="default" r:id="rId8"/>
      <w:pgSz w:w="11906" w:h="16838"/>
      <w:pgMar w:top="2223" w:right="1843" w:bottom="2065" w:left="1843" w:header="709" w:footer="9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60AE" w:rsidRDefault="00D360AE" w:rsidP="00D360AE">
      <w:r>
        <w:separator/>
      </w:r>
    </w:p>
  </w:endnote>
  <w:endnote w:type="continuationSeparator" w:id="0">
    <w:p w:rsidR="00D360AE" w:rsidRDefault="00D360AE" w:rsidP="00D360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, Helvetica">
    <w:altName w:val="Arial"/>
    <w:charset w:val="00"/>
    <w:family w:val="swiss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0AE" w:rsidRDefault="00D360AE">
    <w:pPr>
      <w:pStyle w:val="Standard"/>
      <w:tabs>
        <w:tab w:val="center" w:pos="4320"/>
        <w:tab w:val="right" w:pos="8640"/>
      </w:tabs>
      <w:jc w:val="right"/>
      <w:rPr>
        <w:color w:val="808080"/>
        <w:sz w:val="24"/>
        <w:szCs w:val="24"/>
      </w:rPr>
    </w:pPr>
  </w:p>
  <w:tbl>
    <w:tblPr>
      <w:tblW w:w="8220" w:type="dxa"/>
      <w:tblInd w:w="-10" w:type="dxa"/>
      <w:tblLayout w:type="fixed"/>
      <w:tblCellMar>
        <w:left w:w="10" w:type="dxa"/>
        <w:right w:w="10" w:type="dxa"/>
      </w:tblCellMar>
      <w:tblLook w:val="0000"/>
    </w:tblPr>
    <w:tblGrid>
      <w:gridCol w:w="2417"/>
      <w:gridCol w:w="5215"/>
      <w:gridCol w:w="588"/>
    </w:tblGrid>
    <w:tr w:rsidR="00D360AE" w:rsidTr="00E22A4A">
      <w:tblPrEx>
        <w:tblCellMar>
          <w:top w:w="0" w:type="dxa"/>
          <w:bottom w:w="0" w:type="dxa"/>
        </w:tblCellMar>
      </w:tblPrEx>
      <w:trPr>
        <w:trHeight w:hRule="exact" w:val="283"/>
      </w:trPr>
      <w:tc>
        <w:tcPr>
          <w:tcW w:w="7632" w:type="dxa"/>
          <w:gridSpan w:val="2"/>
          <w:tcMar>
            <w:top w:w="0" w:type="dxa"/>
            <w:left w:w="0" w:type="dxa"/>
            <w:bottom w:w="0" w:type="dxa"/>
            <w:right w:w="0" w:type="dxa"/>
          </w:tcMar>
        </w:tcPr>
        <w:p w:rsidR="00D360AE" w:rsidRDefault="00D360AE">
          <w:pPr>
            <w:pStyle w:val="Standard"/>
            <w:rPr>
              <w:color w:val="999999"/>
              <w:sz w:val="24"/>
              <w:szCs w:val="24"/>
            </w:rPr>
          </w:pPr>
          <w:r>
            <w:rPr>
              <w:color w:val="999999"/>
              <w:sz w:val="24"/>
              <w:szCs w:val="24"/>
            </w:rPr>
            <w:t xml:space="preserve">    </w:t>
          </w:r>
          <w:bookmarkStart w:id="4" w:name="IND_NUM"/>
          <w:bookmarkEnd w:id="4"/>
        </w:p>
      </w:tc>
      <w:tc>
        <w:tcPr>
          <w:tcW w:w="588" w:type="dxa"/>
          <w:tcMar>
            <w:top w:w="0" w:type="dxa"/>
            <w:left w:w="0" w:type="dxa"/>
            <w:bottom w:w="0" w:type="dxa"/>
            <w:right w:w="0" w:type="dxa"/>
          </w:tcMar>
        </w:tcPr>
        <w:p w:rsidR="00D360AE" w:rsidRDefault="00D360AE">
          <w:pPr>
            <w:pStyle w:val="Standard"/>
            <w:tabs>
              <w:tab w:val="center" w:pos="4419"/>
              <w:tab w:val="right" w:pos="8838"/>
            </w:tabs>
            <w:spacing w:after="200" w:line="276" w:lineRule="auto"/>
            <w:jc w:val="right"/>
            <w:rPr>
              <w:color w:val="999999"/>
              <w:sz w:val="24"/>
              <w:szCs w:val="24"/>
            </w:rPr>
          </w:pPr>
          <w:r>
            <w:rPr>
              <w:color w:val="999999"/>
              <w:sz w:val="24"/>
              <w:szCs w:val="24"/>
            </w:rPr>
            <w:fldChar w:fldCharType="begin"/>
          </w:r>
          <w:r>
            <w:rPr>
              <w:color w:val="999999"/>
              <w:sz w:val="24"/>
              <w:szCs w:val="24"/>
            </w:rPr>
            <w:instrText xml:space="preserve"> PAGE \* ARABIC </w:instrText>
          </w:r>
          <w:r>
            <w:rPr>
              <w:color w:val="999999"/>
              <w:sz w:val="24"/>
              <w:szCs w:val="24"/>
            </w:rPr>
            <w:fldChar w:fldCharType="separate"/>
          </w:r>
          <w:r w:rsidR="004D0F45">
            <w:rPr>
              <w:noProof/>
              <w:color w:val="999999"/>
              <w:sz w:val="24"/>
              <w:szCs w:val="24"/>
            </w:rPr>
            <w:t>2</w:t>
          </w:r>
          <w:r>
            <w:rPr>
              <w:color w:val="999999"/>
              <w:sz w:val="24"/>
              <w:szCs w:val="24"/>
            </w:rPr>
            <w:fldChar w:fldCharType="end"/>
          </w:r>
        </w:p>
      </w:tc>
    </w:tr>
    <w:tr w:rsidR="00D360AE" w:rsidTr="00E22A4A">
      <w:tblPrEx>
        <w:tblCellMar>
          <w:top w:w="0" w:type="dxa"/>
          <w:bottom w:w="0" w:type="dxa"/>
        </w:tblCellMar>
      </w:tblPrEx>
      <w:trPr>
        <w:trHeight w:hRule="exact" w:val="283"/>
      </w:trPr>
      <w:tc>
        <w:tcPr>
          <w:tcW w:w="2417" w:type="dxa"/>
          <w:tcMar>
            <w:top w:w="0" w:type="dxa"/>
            <w:left w:w="0" w:type="dxa"/>
            <w:bottom w:w="0" w:type="dxa"/>
            <w:right w:w="0" w:type="dxa"/>
          </w:tcMar>
        </w:tcPr>
        <w:p w:rsidR="00D360AE" w:rsidRDefault="00D360AE">
          <w:pPr>
            <w:pStyle w:val="Standard"/>
            <w:tabs>
              <w:tab w:val="center" w:pos="4419"/>
              <w:tab w:val="right" w:pos="8838"/>
            </w:tabs>
            <w:rPr>
              <w:color w:val="999999"/>
            </w:rPr>
          </w:pPr>
          <w:r>
            <w:rPr>
              <w:color w:val="999999"/>
              <w:sz w:val="24"/>
              <w:szCs w:val="24"/>
            </w:rPr>
            <w:t xml:space="preserve">   </w:t>
          </w:r>
          <w:r>
            <w:rPr>
              <w:rFonts w:ascii="Arial, Helvetica" w:hAnsi="Arial, Helvetica"/>
              <w:color w:val="999999"/>
              <w:sz w:val="22"/>
              <w:szCs w:val="22"/>
            </w:rPr>
            <w:t>64-1-001/2014/4560966</w:t>
          </w:r>
        </w:p>
      </w:tc>
      <w:tc>
        <w:tcPr>
          <w:tcW w:w="5803" w:type="dxa"/>
          <w:gridSpan w:val="2"/>
          <w:tcMar>
            <w:top w:w="0" w:type="dxa"/>
            <w:left w:w="0" w:type="dxa"/>
            <w:bottom w:w="0" w:type="dxa"/>
            <w:right w:w="0" w:type="dxa"/>
          </w:tcMar>
        </w:tcPr>
        <w:p w:rsidR="00D360AE" w:rsidRDefault="00D360AE">
          <w:pPr>
            <w:pStyle w:val="Standard"/>
            <w:tabs>
              <w:tab w:val="center" w:pos="4419"/>
              <w:tab w:val="right" w:pos="8838"/>
            </w:tabs>
            <w:spacing w:after="200" w:line="276" w:lineRule="auto"/>
            <w:jc w:val="right"/>
            <w:rPr>
              <w:rFonts w:ascii="Arial, Helvetica" w:eastAsia="Arial, Helvetica" w:hAnsi="Arial, Helvetica" w:cs="Arial, Helvetica"/>
              <w:color w:val="999999"/>
              <w:sz w:val="22"/>
              <w:szCs w:val="22"/>
            </w:rPr>
          </w:pPr>
          <w:r>
            <w:rPr>
              <w:rFonts w:ascii="Arial, Helvetica" w:eastAsia="Arial, Helvetica" w:hAnsi="Arial, Helvetica" w:cs="Arial, Helvetica"/>
              <w:color w:val="999999"/>
              <w:sz w:val="22"/>
              <w:szCs w:val="22"/>
            </w:rPr>
            <w:t>001/1.13.0217707-0 (CNJ:.0252813-07.2013.8.21.0001)</w:t>
          </w:r>
        </w:p>
      </w:tc>
    </w:tr>
  </w:tbl>
  <w:p w:rsidR="00D360AE" w:rsidRDefault="00D360AE">
    <w:pPr>
      <w:pStyle w:val="Standar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60AE" w:rsidRDefault="004D0F45" w:rsidP="00D360AE">
      <w:r w:rsidRPr="00D360AE">
        <w:rPr>
          <w:color w:val="000000"/>
        </w:rPr>
        <w:separator/>
      </w:r>
    </w:p>
  </w:footnote>
  <w:footnote w:type="continuationSeparator" w:id="0">
    <w:p w:rsidR="00D360AE" w:rsidRDefault="00D360AE" w:rsidP="00D360AE">
      <w:r>
        <w:continuationSeparator/>
      </w:r>
    </w:p>
  </w:footnote>
  <w:footnote w:id="1">
    <w:p w:rsidR="00D360AE" w:rsidRDefault="004D0F45">
      <w:pPr>
        <w:pStyle w:val="Footnote"/>
      </w:pPr>
      <w:r w:rsidRPr="00D360AE">
        <w:rPr>
          <w:rStyle w:val="Refdenotaderodap"/>
        </w:rPr>
        <w:footnoteRef/>
      </w:r>
      <w:r>
        <w:t xml:space="preserve">“1.1 - Nos termos previstos no Conv. ICMS 59/12, poderá ser deferido o parcelamento de débitos às empresas em processo de recuperação judicial no limite máximo de 84 (oitenta e quatro) meses, incluída a prestação inicial, </w:t>
      </w:r>
      <w:r>
        <w:t>observado o disposto neste Capítulo e, no que couber, o disposto no Capítulo XIII.” (...)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0AE" w:rsidRDefault="00D360AE">
    <w:pPr>
      <w:pStyle w:val="Standard"/>
      <w:tabs>
        <w:tab w:val="center" w:pos="4110"/>
        <w:tab w:val="right" w:pos="8221"/>
      </w:tabs>
      <w:rPr>
        <w:rFonts w:ascii="Arial, Helvetica" w:eastAsia="Arial Unicode MS" w:hAnsi="Arial, Helvetica" w:cs="Tahoma" w:hint="eastAsia"/>
      </w:rPr>
    </w:pPr>
    <w:r>
      <w:rPr>
        <w:rFonts w:ascii="Arial, Helvetica" w:eastAsia="Arial Unicode MS" w:hAnsi="Arial, Helvetica" w:cs="Tahoma"/>
        <w:noProof/>
      </w:rPr>
      <w:drawing>
        <wp:inline distT="0" distB="0" distL="0" distR="0">
          <wp:extent cx="5590440" cy="83808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alphaModFix/>
                    <a:lum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90440" cy="838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B298E"/>
    <w:multiLevelType w:val="multilevel"/>
    <w:tmpl w:val="DC207568"/>
    <w:styleLink w:val="RTFNum2"/>
    <w:lvl w:ilvl="0">
      <w:start w:val="1"/>
      <w:numFmt w:val="upperRoman"/>
      <w:lvlText w:val="%1."/>
      <w:lvlJc w:val="left"/>
      <w:pPr>
        <w:ind w:left="720" w:hanging="720"/>
      </w:pPr>
    </w:lvl>
    <w:lvl w:ilvl="1">
      <w:start w:val="1"/>
      <w:numFmt w:val="upperLetter"/>
      <w:lvlText w:val="%2."/>
      <w:lvlJc w:val="left"/>
      <w:pPr>
        <w:ind w:left="1440" w:hanging="720"/>
      </w:pPr>
    </w:lvl>
    <w:lvl w:ilvl="2">
      <w:start w:val="1"/>
      <w:numFmt w:val="decimal"/>
      <w:lvlText w:val="%3."/>
      <w:lvlJc w:val="left"/>
      <w:pPr>
        <w:ind w:left="2160" w:hanging="720"/>
      </w:pPr>
    </w:lvl>
    <w:lvl w:ilvl="3">
      <w:start w:val="1"/>
      <w:numFmt w:val="lowerLetter"/>
      <w:lvlText w:val="%4)"/>
      <w:lvlJc w:val="left"/>
      <w:pPr>
        <w:ind w:left="2880" w:hanging="720"/>
      </w:pPr>
    </w:lvl>
    <w:lvl w:ilvl="4">
      <w:start w:val="1"/>
      <w:numFmt w:val="decimal"/>
      <w:lvlText w:val="(%5)"/>
      <w:lvlJc w:val="left"/>
      <w:pPr>
        <w:ind w:left="3600" w:hanging="720"/>
      </w:pPr>
    </w:lvl>
    <w:lvl w:ilvl="5">
      <w:start w:val="1"/>
      <w:numFmt w:val="lowerLetter"/>
      <w:lvlText w:val="(%6)"/>
      <w:lvlJc w:val="left"/>
      <w:pPr>
        <w:ind w:left="4320" w:hanging="720"/>
      </w:pPr>
    </w:lvl>
    <w:lvl w:ilvl="6">
      <w:start w:val="1"/>
      <w:numFmt w:val="lowerRoman"/>
      <w:lvlText w:val="(%7)"/>
      <w:lvlJc w:val="left"/>
      <w:pPr>
        <w:ind w:left="5040" w:hanging="720"/>
      </w:pPr>
    </w:lvl>
    <w:lvl w:ilvl="7">
      <w:start w:val="1"/>
      <w:numFmt w:val="lowerLetter"/>
      <w:lvlText w:val="(%8)"/>
      <w:lvlJc w:val="left"/>
      <w:pPr>
        <w:ind w:left="5760" w:hanging="720"/>
      </w:pPr>
    </w:lvl>
    <w:lvl w:ilvl="8">
      <w:start w:val="1"/>
      <w:numFmt w:val="lowerRoman"/>
      <w:lvlText w:val="(%9)"/>
      <w:lvlJc w:val="left"/>
      <w:pPr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360AE"/>
    <w:rsid w:val="004D0F45"/>
    <w:rsid w:val="00D360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Lucida Sans Unicode" w:hAnsi="Arial" w:cs="Tahoma"/>
        <w:kern w:val="3"/>
        <w:sz w:val="24"/>
        <w:szCs w:val="24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D360AE"/>
    <w:pPr>
      <w:textAlignment w:val="auto"/>
    </w:pPr>
    <w:rPr>
      <w:rFonts w:cs="Times New Roman"/>
      <w:sz w:val="20"/>
      <w:szCs w:val="20"/>
    </w:rPr>
  </w:style>
  <w:style w:type="paragraph" w:customStyle="1" w:styleId="Textbody">
    <w:name w:val="Text body"/>
    <w:basedOn w:val="Standard"/>
    <w:rsid w:val="00D360AE"/>
    <w:pPr>
      <w:spacing w:after="120"/>
    </w:pPr>
  </w:style>
  <w:style w:type="paragraph" w:customStyle="1" w:styleId="Heading">
    <w:name w:val="Heading"/>
    <w:basedOn w:val="Standard"/>
    <w:next w:val="Textbody"/>
    <w:rsid w:val="00D360AE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Lista">
    <w:name w:val="List"/>
    <w:basedOn w:val="Textbody"/>
    <w:rsid w:val="00D360AE"/>
    <w:rPr>
      <w:rFonts w:ascii="Arial, Helvetica" w:eastAsia="Arial, Helvetica" w:hAnsi="Arial, Helvetica" w:cs="Arial, Helvetica"/>
      <w:sz w:val="24"/>
      <w:szCs w:val="24"/>
    </w:rPr>
  </w:style>
  <w:style w:type="paragraph" w:customStyle="1" w:styleId="Header">
    <w:name w:val="Header"/>
    <w:basedOn w:val="Standard"/>
    <w:rsid w:val="00D360AE"/>
    <w:pPr>
      <w:suppressLineNumbers/>
      <w:tabs>
        <w:tab w:val="center" w:pos="4110"/>
        <w:tab w:val="right" w:pos="8220"/>
      </w:tabs>
    </w:pPr>
  </w:style>
  <w:style w:type="paragraph" w:customStyle="1" w:styleId="Footer">
    <w:name w:val="Footer"/>
    <w:basedOn w:val="Standard"/>
    <w:rsid w:val="00D360AE"/>
    <w:pPr>
      <w:suppressLineNumbers/>
      <w:tabs>
        <w:tab w:val="center" w:pos="4110"/>
        <w:tab w:val="right" w:pos="8220"/>
      </w:tabs>
    </w:pPr>
  </w:style>
  <w:style w:type="paragraph" w:customStyle="1" w:styleId="TableContents">
    <w:name w:val="Table Contents"/>
    <w:basedOn w:val="Standard"/>
    <w:rsid w:val="00D360AE"/>
    <w:pPr>
      <w:suppressLineNumbers/>
    </w:pPr>
  </w:style>
  <w:style w:type="paragraph" w:customStyle="1" w:styleId="TableHeading">
    <w:name w:val="Table Heading"/>
    <w:basedOn w:val="TableContents"/>
    <w:rsid w:val="00D360AE"/>
    <w:pPr>
      <w:jc w:val="center"/>
    </w:pPr>
    <w:rPr>
      <w:b/>
      <w:bCs/>
    </w:rPr>
  </w:style>
  <w:style w:type="paragraph" w:customStyle="1" w:styleId="Caption">
    <w:name w:val="Caption"/>
    <w:basedOn w:val="Standard"/>
    <w:rsid w:val="00D360AE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Footnote">
    <w:name w:val="Footnote"/>
    <w:basedOn w:val="Standard"/>
    <w:rsid w:val="00D360AE"/>
    <w:pPr>
      <w:suppressLineNumbers/>
      <w:ind w:left="283" w:hanging="283"/>
    </w:pPr>
  </w:style>
  <w:style w:type="paragraph" w:customStyle="1" w:styleId="Index">
    <w:name w:val="Index"/>
    <w:basedOn w:val="Standard"/>
    <w:rsid w:val="00D360AE"/>
    <w:pPr>
      <w:suppressLineNumbers/>
    </w:pPr>
    <w:rPr>
      <w:rFonts w:cs="Tahoma"/>
    </w:rPr>
  </w:style>
  <w:style w:type="paragraph" w:customStyle="1" w:styleId="Headinguser">
    <w:name w:val="Heading (user)"/>
    <w:basedOn w:val="Standard"/>
    <w:next w:val="Textbody"/>
    <w:rsid w:val="00D360AE"/>
    <w:pPr>
      <w:keepNext/>
      <w:spacing w:before="240" w:after="120"/>
    </w:pPr>
    <w:rPr>
      <w:rFonts w:ascii="Arial, Helvetica" w:eastAsia="MS Mincho" w:hAnsi="Arial, Helvetica" w:cs="Tahoma"/>
      <w:sz w:val="28"/>
      <w:szCs w:val="28"/>
    </w:rPr>
  </w:style>
  <w:style w:type="paragraph" w:styleId="Legenda">
    <w:name w:val="caption"/>
    <w:basedOn w:val="Standard"/>
    <w:rsid w:val="00D360AE"/>
    <w:pPr>
      <w:spacing w:before="120" w:after="120"/>
    </w:pPr>
    <w:rPr>
      <w:rFonts w:ascii="Arial, Helvetica" w:eastAsia="Arial, Helvetica" w:hAnsi="Arial, Helvetica" w:cs="Arial, Helvetica"/>
      <w:i/>
      <w:iCs/>
      <w:sz w:val="24"/>
      <w:szCs w:val="24"/>
    </w:rPr>
  </w:style>
  <w:style w:type="paragraph" w:customStyle="1" w:styleId="Indexuser">
    <w:name w:val="Index (user)"/>
    <w:basedOn w:val="Standard"/>
    <w:rsid w:val="00D360AE"/>
    <w:rPr>
      <w:rFonts w:ascii="Arial, Helvetica" w:eastAsia="Arial, Helvetica" w:hAnsi="Arial, Helvetica" w:cs="Arial, Helvetica"/>
      <w:sz w:val="24"/>
      <w:szCs w:val="24"/>
    </w:rPr>
  </w:style>
  <w:style w:type="paragraph" w:styleId="Cabealho">
    <w:name w:val="header"/>
    <w:basedOn w:val="Standard"/>
    <w:rsid w:val="00D360AE"/>
    <w:pPr>
      <w:tabs>
        <w:tab w:val="center" w:pos="4110"/>
        <w:tab w:val="right" w:pos="8220"/>
      </w:tabs>
    </w:pPr>
  </w:style>
  <w:style w:type="paragraph" w:styleId="Rodap">
    <w:name w:val="footer"/>
    <w:basedOn w:val="Standard"/>
    <w:rsid w:val="00D360AE"/>
    <w:pPr>
      <w:tabs>
        <w:tab w:val="center" w:pos="4110"/>
        <w:tab w:val="right" w:pos="8220"/>
      </w:tabs>
    </w:pPr>
  </w:style>
  <w:style w:type="paragraph" w:customStyle="1" w:styleId="TableContentsuser">
    <w:name w:val="Table Contents (user)"/>
    <w:basedOn w:val="Standard"/>
    <w:rsid w:val="00D360AE"/>
  </w:style>
  <w:style w:type="paragraph" w:customStyle="1" w:styleId="TableHeadinguser">
    <w:name w:val="Table Heading (user)"/>
    <w:basedOn w:val="TableContentsuser"/>
    <w:rsid w:val="00D360AE"/>
    <w:pPr>
      <w:jc w:val="center"/>
    </w:pPr>
    <w:rPr>
      <w:b/>
      <w:bCs/>
    </w:rPr>
  </w:style>
  <w:style w:type="character" w:customStyle="1" w:styleId="FootnoteSymbol">
    <w:name w:val="Footnote Symbol"/>
    <w:rsid w:val="00D360AE"/>
  </w:style>
  <w:style w:type="character" w:customStyle="1" w:styleId="Footnoteanchor">
    <w:name w:val="Footnote anchor"/>
    <w:rsid w:val="00D360AE"/>
    <w:rPr>
      <w:position w:val="0"/>
      <w:vertAlign w:val="superscript"/>
    </w:rPr>
  </w:style>
  <w:style w:type="character" w:customStyle="1" w:styleId="CorpodetextoChar">
    <w:name w:val="Corpo de texto Char"/>
    <w:basedOn w:val="Fontepargpadro"/>
    <w:rsid w:val="00D360AE"/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rsid w:val="00D360AE"/>
    <w:rPr>
      <w:rFonts w:ascii="Times New Roman" w:eastAsia="Times New Roman" w:hAnsi="Times New Roman" w:cs="Times New Roman"/>
      <w:sz w:val="24"/>
      <w:szCs w:val="24"/>
    </w:rPr>
  </w:style>
  <w:style w:type="character" w:customStyle="1" w:styleId="RodapChar">
    <w:name w:val="Rodapé Char"/>
    <w:basedOn w:val="Fontepargpadro"/>
    <w:rsid w:val="00D360AE"/>
    <w:rPr>
      <w:rFonts w:ascii="Times New Roman" w:eastAsia="Times New Roman" w:hAnsi="Times New Roman" w:cs="Times New Roman"/>
      <w:sz w:val="24"/>
      <w:szCs w:val="24"/>
    </w:rPr>
  </w:style>
  <w:style w:type="numbering" w:customStyle="1" w:styleId="RTFNum2">
    <w:name w:val="RTF_Num 2"/>
    <w:basedOn w:val="Semlista"/>
    <w:rsid w:val="00D360AE"/>
    <w:pPr>
      <w:numPr>
        <w:numId w:val="1"/>
      </w:numPr>
    </w:pPr>
  </w:style>
  <w:style w:type="character" w:styleId="Refdenotaderodap">
    <w:name w:val="footnote reference"/>
    <w:basedOn w:val="Fontepargpadro"/>
    <w:uiPriority w:val="99"/>
    <w:semiHidden/>
    <w:unhideWhenUsed/>
    <w:rsid w:val="00D360A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1631</Words>
  <Characters>8811</Characters>
  <Application>Microsoft Office Word</Application>
  <DocSecurity>0</DocSecurity>
  <Lines>73</Lines>
  <Paragraphs>20</Paragraphs>
  <ScaleCrop>false</ScaleCrop>
  <Company/>
  <LinksUpToDate>false</LinksUpToDate>
  <CharactersWithSpaces>10422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Estação1</dc:creator>
  <cp:lastModifiedBy>Usuário do Windows</cp:lastModifiedBy>
  <cp:revision>2</cp:revision>
  <dcterms:created xsi:type="dcterms:W3CDTF">2014-12-02T18:34:00Z</dcterms:created>
  <dcterms:modified xsi:type="dcterms:W3CDTF">2014-12-02T18:34:00Z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