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931" w:rsidRDefault="002F2968">
      <w:pPr>
        <w:pStyle w:val="Standard"/>
        <w:autoSpaceDE/>
        <w:spacing w:line="244" w:lineRule="exact"/>
        <w:rPr>
          <w:rFonts w:ascii="Ecofont Vera Sans" w:eastAsia="Ecofont Vera Sans" w:hAnsi="Ecofont Vera Sans" w:cs="Ecofont Vera Sans"/>
          <w:caps/>
          <w:sz w:val="22"/>
          <w:szCs w:val="22"/>
        </w:rPr>
      </w:pPr>
      <w:r>
        <w:rPr>
          <w:rFonts w:ascii="Ecofont Vera Sans" w:eastAsia="Ecofont Vera Sans" w:hAnsi="Ecofont Vera Sans" w:cs="Ecofont Vera Sans"/>
          <w:caps/>
          <w:sz w:val="22"/>
          <w:szCs w:val="22"/>
        </w:rPr>
        <w:t>Comarca de Teutônia</w:t>
      </w:r>
    </w:p>
    <w:p w:rsidR="00131931" w:rsidRDefault="002F2968">
      <w:pPr>
        <w:pStyle w:val="Standard"/>
        <w:autoSpaceDE/>
        <w:rPr>
          <w:rFonts w:ascii="Ecofont Vera Sans" w:eastAsia="Ecofont Vera Sans" w:hAnsi="Ecofont Vera Sans" w:cs="Ecofont Vera Sans"/>
          <w:caps/>
          <w:sz w:val="22"/>
          <w:szCs w:val="22"/>
        </w:rPr>
      </w:pPr>
      <w:r>
        <w:rPr>
          <w:rFonts w:ascii="Ecofont Vera Sans" w:eastAsia="Ecofont Vera Sans" w:hAnsi="Ecofont Vera Sans" w:cs="Ecofont Vera Sans"/>
          <w:caps/>
          <w:sz w:val="22"/>
          <w:szCs w:val="22"/>
        </w:rPr>
        <w:t>1ª Vara Judicial</w:t>
      </w:r>
    </w:p>
    <w:p w:rsidR="00131931" w:rsidRDefault="002F2968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Av. 01 Norte, 200</w:t>
      </w:r>
    </w:p>
    <w:p w:rsidR="00131931" w:rsidRDefault="002F2968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_________________________________________________________________________</w:t>
      </w:r>
    </w:p>
    <w:p w:rsidR="00131931" w:rsidRDefault="00131931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</w:p>
    <w:tbl>
      <w:tblPr>
        <w:tblW w:w="8574" w:type="dxa"/>
        <w:tblInd w:w="-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23"/>
        <w:gridCol w:w="6451"/>
      </w:tblGrid>
      <w:tr w:rsidR="00131931" w:rsidTr="00131931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Processo nº:  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159/1.14.0002847-0 </w:t>
            </w: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(CNJ:.0005923-68.2014.8.21.0159)</w:t>
            </w:r>
          </w:p>
        </w:tc>
      </w:tr>
      <w:tr w:rsidR="00131931" w:rsidTr="00131931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Natureza: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Autofalência</w:t>
            </w:r>
          </w:p>
        </w:tc>
      </w:tr>
      <w:tr w:rsidR="00131931" w:rsidTr="00131931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Autor: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Inovare Beneficiadora de Alimentos Eireli</w:t>
            </w:r>
          </w:p>
        </w:tc>
      </w:tr>
      <w:tr w:rsidR="00131931" w:rsidTr="00131931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Réu: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Inovare Beneficiadora de Alimentos Eireli</w:t>
            </w:r>
          </w:p>
        </w:tc>
      </w:tr>
      <w:tr w:rsidR="00131931" w:rsidTr="00131931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Juiz Prolator: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Juíza de Direito - Dra. Ângela Lucian</w:t>
            </w:r>
          </w:p>
        </w:tc>
      </w:tr>
      <w:tr w:rsidR="00131931" w:rsidTr="00131931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Data: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31931" w:rsidRDefault="002F2968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23/03/2015</w:t>
            </w:r>
          </w:p>
        </w:tc>
      </w:tr>
    </w:tbl>
    <w:p w:rsidR="00131931" w:rsidRDefault="00131931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</w:p>
    <w:p w:rsidR="00131931" w:rsidRDefault="002F2968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Vistos etc.</w:t>
      </w:r>
    </w:p>
    <w:p w:rsidR="00131931" w:rsidRDefault="00131931">
      <w:pPr>
        <w:pStyle w:val="Standard"/>
        <w:autoSpaceDE/>
        <w:spacing w:before="57" w:after="85"/>
        <w:ind w:firstLine="1843"/>
        <w:jc w:val="both"/>
        <w:rPr>
          <w:rFonts w:ascii="Arial" w:eastAsia="Ecofont Vera Sans" w:hAnsi="Arial" w:cs="Ecofont Vera Sans"/>
          <w:sz w:val="22"/>
          <w:szCs w:val="22"/>
        </w:rPr>
      </w:pP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hAnsi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 xml:space="preserve">INOVARE 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>BENEFICIADORA DE ALIMENTOS- EIRELI</w:t>
      </w:r>
      <w:r>
        <w:rPr>
          <w:rFonts w:ascii="Ecofont Vera Sans" w:eastAsia="Ecofont Vera Sans" w:hAnsi="Ecofont Vera Sans" w:cs="Ecofont Vera Sans"/>
          <w:sz w:val="22"/>
          <w:szCs w:val="22"/>
        </w:rPr>
        <w:t>, já devidamente qualificada e regularmente representada, intentou o presente pedido de autofalência, expondo que a empresa foi constituída em 10/05/2013. mas que em virtude das dificuldades impostas à empresa, não tem con</w:t>
      </w:r>
      <w:r>
        <w:rPr>
          <w:rFonts w:ascii="Ecofont Vera Sans" w:eastAsia="Ecofont Vera Sans" w:hAnsi="Ecofont Vera Sans" w:cs="Ecofont Vera Sans"/>
          <w:sz w:val="22"/>
          <w:szCs w:val="22"/>
        </w:rPr>
        <w:t>dições de honrar seus compromissos.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A requerente objetiva o decreto falimentar, a fim de evitar maiores prejuízos aos seus credores.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Após manifestação do Ministério Público, a autora instruiu o feito com os documentos necessários.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b/>
          <w:bCs/>
          <w:sz w:val="22"/>
          <w:szCs w:val="22"/>
        </w:rPr>
      </w:pP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>É O RELATO.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b/>
          <w:bCs/>
          <w:sz w:val="22"/>
          <w:szCs w:val="22"/>
        </w:rPr>
      </w:pP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 xml:space="preserve">PASSO A 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>DECIDIR.</w:t>
      </w:r>
      <w:r>
        <w:rPr>
          <w:rFonts w:ascii="Ecofont Vera Sans" w:eastAsia="Ecofont Vera Sans" w:hAnsi="Ecofont Vera Sans" w:cs="Ecofont Vera Sans"/>
          <w:sz w:val="22"/>
          <w:szCs w:val="22"/>
        </w:rPr>
        <w:tab/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O pedido de autofalência importa em reconhecer o estado de insolvência da requerente, atendo-se nesse momento se essa importa  em descumprir porque não pode pagar, ou porque o devedor tem capacidade de pagar, mas descumpriu a obrigação de pagamen</w:t>
      </w:r>
      <w:r>
        <w:rPr>
          <w:rFonts w:ascii="Ecofont Vera Sans" w:eastAsia="Ecofont Vera Sans" w:hAnsi="Ecofont Vera Sans" w:cs="Ecofont Vera Sans"/>
          <w:sz w:val="22"/>
          <w:szCs w:val="22"/>
        </w:rPr>
        <w:t>to, presumindo-se insolvente.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Portanto, cumpre a análise dos requisitos do pedido falimentar, tendo por norte a capacidade econômico-financeira da requerente.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Note, é importante a juntada dos demonstrativos contábeis referidos no art. 105 da Lei 11.101/2</w:t>
      </w:r>
      <w:r>
        <w:rPr>
          <w:rFonts w:ascii="Ecofont Vera Sans" w:eastAsia="Ecofont Vera Sans" w:hAnsi="Ecofont Vera Sans" w:cs="Ecofont Vera Sans"/>
          <w:sz w:val="22"/>
          <w:szCs w:val="22"/>
        </w:rPr>
        <w:t>005, pois deles deverá se extrair a situação financeira da autora, sua incapacidade de pagamento dos débitos existentes.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i/>
          <w:iCs/>
          <w:sz w:val="22"/>
          <w:szCs w:val="22"/>
        </w:rPr>
      </w:pPr>
      <w:r>
        <w:rPr>
          <w:rFonts w:ascii="Ecofont Vera Sans" w:eastAsia="Ecofont Vera Sans" w:hAnsi="Ecofont Vera Sans" w:cs="Ecofont Vera Sans"/>
          <w:i/>
          <w:iCs/>
          <w:sz w:val="22"/>
          <w:szCs w:val="22"/>
        </w:rPr>
        <w:t>"Para a confissão postulatória, é suficiente a demonstração de seu estado de deterioração patrimonial, dispensada a comprovação via pro</w:t>
      </w:r>
      <w:r>
        <w:rPr>
          <w:rFonts w:ascii="Ecofont Vera Sans" w:eastAsia="Ecofont Vera Sans" w:hAnsi="Ecofont Vera Sans" w:cs="Ecofont Vera Sans"/>
          <w:i/>
          <w:iCs/>
          <w:sz w:val="22"/>
          <w:szCs w:val="22"/>
        </w:rPr>
        <w:t xml:space="preserve">testo que se </w:t>
      </w:r>
      <w:r>
        <w:rPr>
          <w:rFonts w:ascii="Ecofont Vera Sans" w:eastAsia="Ecofont Vera Sans" w:hAnsi="Ecofont Vera Sans" w:cs="Ecofont Vera Sans"/>
          <w:i/>
          <w:iCs/>
          <w:sz w:val="22"/>
          <w:szCs w:val="22"/>
        </w:rPr>
        <w:lastRenderedPageBreak/>
        <w:t>torna necessário para o requerimento de falência pelo credor e que venha a comprovar a suspensão de pagamentos. O pedido deverá ser instruído, diz o art. 105 da LRE, com o último balanço patrimonial, a relação dos credores e a exposição de seu</w:t>
      </w:r>
      <w:r>
        <w:rPr>
          <w:rFonts w:ascii="Ecofont Vera Sans" w:eastAsia="Ecofont Vera Sans" w:hAnsi="Ecofont Vera Sans" w:cs="Ecofont Vera Sans"/>
          <w:i/>
          <w:iCs/>
          <w:sz w:val="22"/>
          <w:szCs w:val="22"/>
        </w:rPr>
        <w:t xml:space="preserve"> ativo disponível, comprovando a impossibilidade de prosseguimento da atividade empresarial."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Assim, no caso da autofalência o próprio devedor vem comprovar sua impossibilidade financeira de quitar com o passivo existente, e mais do que isso, a insolvência</w:t>
      </w:r>
      <w:r>
        <w:rPr>
          <w:rFonts w:ascii="Ecofont Vera Sans" w:eastAsia="Ecofont Vera Sans" w:hAnsi="Ecofont Vera Sans" w:cs="Ecofont Vera Sans"/>
          <w:sz w:val="22"/>
          <w:szCs w:val="22"/>
        </w:rPr>
        <w:t xml:space="preserve"> do agente econômico em recuperar a empresa e enfrentar o passivo existente.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hAnsi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Assim, pela juntada dos documentos, em especial, o último balanço patrimonial às fls. 68/72 e a relação dos bens de propriedade da  empresa autora e de sua sócia administradora, </w:t>
      </w:r>
      <w:r>
        <w:rPr>
          <w:rFonts w:ascii="Ecofont Vera Sans" w:eastAsia="Ecofont Vera Sans" w:hAnsi="Ecofont Vera Sans" w:cs="Ecofont Vera Sans"/>
          <w:sz w:val="22"/>
          <w:szCs w:val="22"/>
        </w:rPr>
        <w:t>denota-se que há possibilidade de se deferir o pleito da autora.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Diante do exposto, tenho como suficientemente demonstrada a inviabilidade econômica financeira da requerente, razão pela qual acolho o pedido da requerente, para 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>DECRETAR A FALÊNCIA</w:t>
      </w:r>
      <w:r>
        <w:rPr>
          <w:rFonts w:ascii="Ecofont Vera Sans" w:eastAsia="Ecofont Vera Sans" w:hAnsi="Ecofont Vera Sans" w:cs="Ecofont Vera Sans"/>
          <w:sz w:val="22"/>
          <w:szCs w:val="22"/>
        </w:rPr>
        <w:t xml:space="preserve"> de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 xml:space="preserve"> INOVAR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>E BENEFICIADORA DE ALIMENTOS-EIRELI</w:t>
      </w:r>
      <w:r>
        <w:rPr>
          <w:rFonts w:ascii="Ecofont Vera Sans" w:eastAsia="Ecofont Vera Sans" w:hAnsi="Ecofont Vera Sans" w:cs="Ecofont Vera Sans"/>
          <w:sz w:val="22"/>
          <w:szCs w:val="22"/>
        </w:rPr>
        <w:t>, CNPJ 04.714.171/0001-33, fixando termo legal da falência em 90 dias, contados dessa decisão.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Saliento que já consta dos autos relação de credores, natureza e classificação do crédito e seus endereços.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Fixo prazo de 15 </w:t>
      </w:r>
      <w:r>
        <w:rPr>
          <w:rFonts w:ascii="Ecofont Vera Sans" w:eastAsia="Ecofont Vera Sans" w:hAnsi="Ecofont Vera Sans" w:cs="Ecofont Vera Sans"/>
          <w:sz w:val="22"/>
          <w:szCs w:val="22"/>
        </w:rPr>
        <w:t>dias, após a publicação do edital, de acordo com o art. 99, parágrafo único, da lei sob comento, para que os credores comerciais e civis do falido identifiquem e declarem seus créditos, ou apresentem divergência quanto ao que eventualmente declarado pelo f</w:t>
      </w:r>
      <w:r>
        <w:rPr>
          <w:rFonts w:ascii="Ecofont Vera Sans" w:eastAsia="Ecofont Vera Sans" w:hAnsi="Ecofont Vera Sans" w:cs="Ecofont Vera Sans"/>
          <w:sz w:val="22"/>
          <w:szCs w:val="22"/>
        </w:rPr>
        <w:t>alido.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Determino a suspensão das ações ou execuções contra o falido, bem como que se proceda à anotação da presente perante a Junta Comercial do Estado.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Determino seja 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 xml:space="preserve">lacrada </w:t>
      </w:r>
      <w:r>
        <w:rPr>
          <w:rFonts w:ascii="Ecofont Vera Sans" w:eastAsia="Ecofont Vera Sans" w:hAnsi="Ecofont Vera Sans" w:cs="Ecofont Vera Sans"/>
          <w:sz w:val="22"/>
          <w:szCs w:val="22"/>
        </w:rPr>
        <w:t>a empresa, vedada qualquer venda de bens sem prévia e expressa autorização judic</w:t>
      </w:r>
      <w:r>
        <w:rPr>
          <w:rFonts w:ascii="Ecofont Vera Sans" w:eastAsia="Ecofont Vera Sans" w:hAnsi="Ecofont Vera Sans" w:cs="Ecofont Vera Sans"/>
          <w:sz w:val="22"/>
          <w:szCs w:val="22"/>
        </w:rPr>
        <w:t>ial.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hAnsi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Nomeio administrador judicial Dr. João Adalberto Medeiros Fernandes Jr.</w:t>
      </w:r>
      <w:r>
        <w:rPr>
          <w:rFonts w:ascii="Ecofont Vera Sans" w:eastAsia="Ecofont Vera Sans" w:hAnsi="Ecofont Vera Sans" w:cs="Ecofont Vera Sans"/>
          <w:color w:val="000000"/>
          <w:sz w:val="22"/>
          <w:szCs w:val="22"/>
        </w:rPr>
        <w:t xml:space="preserve">, e-mail- </w:t>
      </w:r>
      <w:hyperlink r:id="rId7" w:history="1">
        <w:r>
          <w:rPr>
            <w:rFonts w:ascii="Ecofont Vera Sans" w:eastAsia="Ecofont Vera Sans" w:hAnsi="Ecofont Vera Sans" w:cs="Ecofont Vera Sans"/>
            <w:color w:val="000080"/>
            <w:sz w:val="22"/>
            <w:szCs w:val="22"/>
          </w:rPr>
          <w:t>joao@medeirosfernandesjr</w:t>
        </w:r>
      </w:hyperlink>
      <w:hyperlink r:id="rId8" w:history="1">
        <w:r>
          <w:rPr>
            <w:rFonts w:ascii="Ecofont Vera Sans" w:eastAsia="Arial" w:hAnsi="Ecofont Vera Sans" w:cs="Arial"/>
            <w:color w:val="000080"/>
            <w:sz w:val="22"/>
            <w:szCs w:val="22"/>
            <w:u w:val="single"/>
          </w:rPr>
          <w:t>.adv.br</w:t>
        </w:r>
      </w:hyperlink>
      <w:r>
        <w:rPr>
          <w:rFonts w:ascii="Ecofont Vera Sans" w:eastAsia="Ecofont Vera Sans" w:hAnsi="Ecofont Vera Sans" w:cs="Ecofont Vera Sans"/>
          <w:color w:val="000000"/>
          <w:sz w:val="22"/>
          <w:szCs w:val="22"/>
        </w:rPr>
        <w:t xml:space="preserve"> – fone (51) 3072.0111.</w:t>
      </w: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Arial" w:hAnsi="Ecofont Vera Sans" w:cs="Arial"/>
          <w:sz w:val="22"/>
          <w:szCs w:val="22"/>
        </w:rPr>
      </w:pPr>
      <w:r>
        <w:rPr>
          <w:rFonts w:ascii="Ecofont Vera Sans" w:eastAsia="Arial" w:hAnsi="Ecofont Vera Sans" w:cs="Arial"/>
          <w:sz w:val="22"/>
          <w:szCs w:val="22"/>
        </w:rPr>
        <w:t>Expeçam-se os ofícios do inciso X e as intimações do inciso XIII, do art. 99 da Lei de Falências (Lei nº 11.101/2005), bem como dê-se vista ao Ministério Público.</w:t>
      </w:r>
    </w:p>
    <w:p w:rsidR="00131931" w:rsidRDefault="00131931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131931" w:rsidRDefault="002F2968">
      <w:pPr>
        <w:pStyle w:val="Standard"/>
        <w:spacing w:line="360" w:lineRule="auto"/>
        <w:ind w:firstLine="187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Publique-se.</w:t>
      </w:r>
    </w:p>
    <w:p w:rsidR="00131931" w:rsidRDefault="002F2968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Registre-se.</w:t>
      </w:r>
    </w:p>
    <w:p w:rsidR="00131931" w:rsidRDefault="002F2968">
      <w:pPr>
        <w:pStyle w:val="Standard"/>
        <w:autoSpaceDE/>
        <w:spacing w:before="57" w:after="85" w:line="244" w:lineRule="exact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Intimem-se.</w:t>
      </w:r>
    </w:p>
    <w:p w:rsidR="00131931" w:rsidRDefault="00131931">
      <w:pPr>
        <w:pStyle w:val="Standard"/>
        <w:autoSpaceDE/>
        <w:spacing w:before="57" w:after="85" w:line="244" w:lineRule="exact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bookmarkStart w:id="0" w:name="IND_TEXTOSENTENCA_FIM"/>
      <w:bookmarkEnd w:id="0"/>
    </w:p>
    <w:p w:rsidR="00131931" w:rsidRDefault="002F2968">
      <w:pPr>
        <w:pStyle w:val="Standard"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Teutônia, 23 de março de </w:t>
      </w:r>
      <w:r>
        <w:rPr>
          <w:rFonts w:ascii="Ecofont Vera Sans" w:eastAsia="Ecofont Vera Sans" w:hAnsi="Ecofont Vera Sans" w:cs="Ecofont Vera Sans"/>
          <w:sz w:val="22"/>
          <w:szCs w:val="22"/>
        </w:rPr>
        <w:t>2015.</w:t>
      </w:r>
    </w:p>
    <w:p w:rsidR="00131931" w:rsidRDefault="00131931">
      <w:pPr>
        <w:pStyle w:val="Standard"/>
        <w:autoSpaceDE/>
        <w:spacing w:before="57" w:after="85" w:line="244" w:lineRule="exact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131931" w:rsidRDefault="002F2968">
      <w:pPr>
        <w:pStyle w:val="Standard"/>
        <w:jc w:val="center"/>
        <w:rPr>
          <w:rFonts w:ascii="Ecofont Vera Sans" w:eastAsia="Ecofont Vera Sans" w:hAnsi="Ecofont Vera Sans" w:cs="Ecofont Vera Sans"/>
          <w:sz w:val="22"/>
          <w:szCs w:val="22"/>
        </w:rPr>
      </w:pPr>
      <w:bookmarkStart w:id="1" w:name="IND_JULGADOR_INICIO"/>
      <w:bookmarkEnd w:id="1"/>
      <w:r>
        <w:rPr>
          <w:rFonts w:ascii="Ecofont Vera Sans" w:eastAsia="Ecofont Vera Sans" w:hAnsi="Ecofont Vera Sans" w:cs="Ecofont Vera Sans"/>
          <w:sz w:val="22"/>
          <w:szCs w:val="22"/>
        </w:rPr>
        <w:t>Ângela Lucian</w:t>
      </w:r>
      <w:bookmarkStart w:id="2" w:name="IND_JULGADOR_FIM"/>
      <w:bookmarkEnd w:id="2"/>
    </w:p>
    <w:p w:rsidR="00131931" w:rsidRDefault="002F2968">
      <w:pPr>
        <w:pStyle w:val="Standard"/>
        <w:spacing w:line="244" w:lineRule="exact"/>
        <w:jc w:val="center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Juíza de Direito</w:t>
      </w:r>
    </w:p>
    <w:sectPr w:rsidR="00131931" w:rsidSect="00131931">
      <w:headerReference w:type="default" r:id="rId9"/>
      <w:footerReference w:type="default" r:id="rId10"/>
      <w:pgSz w:w="11906" w:h="16838"/>
      <w:pgMar w:top="2393" w:right="1701" w:bottom="1621" w:left="1701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931" w:rsidRDefault="00131931" w:rsidP="00131931">
      <w:r>
        <w:separator/>
      </w:r>
    </w:p>
  </w:endnote>
  <w:endnote w:type="continuationSeparator" w:id="0">
    <w:p w:rsidR="00131931" w:rsidRDefault="00131931" w:rsidP="001319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 Helvetica">
    <w:altName w:val="Arial"/>
    <w:charset w:val="00"/>
    <w:family w:val="swiss"/>
    <w:pitch w:val="variable"/>
    <w:sig w:usb0="00000000" w:usb1="00000000" w:usb2="00000000" w:usb3="00000000" w:csb0="00000000" w:csb1="00000000"/>
  </w:font>
  <w:font w:name="Ecofont Ver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504" w:type="dxa"/>
      <w:tblInd w:w="-10" w:type="dxa"/>
      <w:tblLayout w:type="fixed"/>
      <w:tblCellMar>
        <w:left w:w="10" w:type="dxa"/>
        <w:right w:w="10" w:type="dxa"/>
      </w:tblCellMar>
      <w:tblLook w:val="04A0"/>
    </w:tblPr>
    <w:tblGrid>
      <w:gridCol w:w="2501"/>
      <w:gridCol w:w="5394"/>
      <w:gridCol w:w="609"/>
    </w:tblGrid>
    <w:tr w:rsidR="00131931" w:rsidTr="00BB595B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7895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131931" w:rsidRDefault="00131931">
          <w:pPr>
            <w:pStyle w:val="Standard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t xml:space="preserve">     </w:t>
          </w:r>
          <w:bookmarkStart w:id="3" w:name="IND_NUM"/>
          <w:bookmarkEnd w:id="3"/>
        </w:p>
      </w:tc>
      <w:tc>
        <w:tcPr>
          <w:tcW w:w="609" w:type="dxa"/>
          <w:tcMar>
            <w:top w:w="0" w:type="dxa"/>
            <w:left w:w="0" w:type="dxa"/>
            <w:bottom w:w="0" w:type="dxa"/>
            <w:right w:w="0" w:type="dxa"/>
          </w:tcMar>
        </w:tcPr>
        <w:p w:rsidR="00131931" w:rsidRDefault="00131931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fldChar w:fldCharType="begin"/>
          </w:r>
          <w:r>
            <w:rPr>
              <w:color w:val="999999"/>
              <w:sz w:val="24"/>
              <w:szCs w:val="24"/>
            </w:rPr>
            <w:instrText xml:space="preserve"> PAGE \* ARABIC </w:instrText>
          </w:r>
          <w:r>
            <w:rPr>
              <w:color w:val="999999"/>
              <w:sz w:val="24"/>
              <w:szCs w:val="24"/>
            </w:rPr>
            <w:fldChar w:fldCharType="separate"/>
          </w:r>
          <w:r w:rsidR="002F2968">
            <w:rPr>
              <w:noProof/>
              <w:color w:val="999999"/>
              <w:sz w:val="24"/>
              <w:szCs w:val="24"/>
            </w:rPr>
            <w:t>2</w:t>
          </w:r>
          <w:r>
            <w:rPr>
              <w:color w:val="999999"/>
              <w:sz w:val="24"/>
              <w:szCs w:val="24"/>
            </w:rPr>
            <w:fldChar w:fldCharType="end"/>
          </w:r>
        </w:p>
      </w:tc>
    </w:tr>
    <w:tr w:rsidR="00131931" w:rsidTr="00BB595B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2501" w:type="dxa"/>
          <w:tcMar>
            <w:top w:w="0" w:type="dxa"/>
            <w:left w:w="0" w:type="dxa"/>
            <w:bottom w:w="0" w:type="dxa"/>
            <w:right w:w="0" w:type="dxa"/>
          </w:tcMar>
        </w:tcPr>
        <w:p w:rsidR="00131931" w:rsidRDefault="00131931">
          <w:pPr>
            <w:pStyle w:val="Standard"/>
            <w:tabs>
              <w:tab w:val="center" w:pos="4419"/>
              <w:tab w:val="right" w:pos="8838"/>
            </w:tabs>
            <w:rPr>
              <w:color w:val="999999"/>
            </w:rPr>
          </w:pPr>
          <w:r>
            <w:rPr>
              <w:color w:val="999999"/>
              <w:sz w:val="24"/>
              <w:szCs w:val="24"/>
            </w:rPr>
            <w:t xml:space="preserve">     </w:t>
          </w:r>
          <w:r>
            <w:rPr>
              <w:rFonts w:ascii="Calibri" w:hAnsi="Calibri"/>
              <w:color w:val="999999"/>
              <w:sz w:val="22"/>
              <w:szCs w:val="22"/>
            </w:rPr>
            <w:t>64-5-159/2015/11827</w:t>
          </w:r>
        </w:p>
      </w:tc>
      <w:tc>
        <w:tcPr>
          <w:tcW w:w="6003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131931" w:rsidRDefault="00131931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rFonts w:ascii="Calibri" w:eastAsia="Calibri" w:hAnsi="Calibri" w:cs="Calibri"/>
              <w:color w:val="999999"/>
              <w:sz w:val="22"/>
              <w:szCs w:val="22"/>
            </w:rPr>
          </w:pPr>
          <w:r>
            <w:rPr>
              <w:rFonts w:ascii="Calibri" w:eastAsia="Calibri" w:hAnsi="Calibri" w:cs="Calibri"/>
              <w:color w:val="999999"/>
              <w:sz w:val="22"/>
              <w:szCs w:val="22"/>
            </w:rPr>
            <w:t>159/1.14.0002847-0 (CNJ:.0005923-68.2014.8.21.0159)</w:t>
          </w:r>
        </w:p>
      </w:tc>
    </w:tr>
  </w:tbl>
  <w:p w:rsidR="00131931" w:rsidRDefault="00131931">
    <w:pPr>
      <w:pStyle w:val="Standard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931" w:rsidRDefault="002F2968" w:rsidP="00131931">
      <w:r w:rsidRPr="00131931">
        <w:rPr>
          <w:color w:val="000000"/>
        </w:rPr>
        <w:separator/>
      </w:r>
    </w:p>
  </w:footnote>
  <w:footnote w:type="continuationSeparator" w:id="0">
    <w:p w:rsidR="00131931" w:rsidRDefault="00131931" w:rsidP="001319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931" w:rsidRDefault="00131931">
    <w:pPr>
      <w:pStyle w:val="Standard"/>
      <w:tabs>
        <w:tab w:val="center" w:pos="4110"/>
        <w:tab w:val="right" w:pos="8220"/>
      </w:tabs>
      <w:rPr>
        <w:rFonts w:ascii="Arial, Helvetica" w:eastAsia="Arial, Helvetica" w:hAnsi="Arial, Helvetica" w:cs="Arial, Helvetica"/>
        <w:sz w:val="24"/>
        <w:szCs w:val="24"/>
      </w:rPr>
    </w:pPr>
    <w:r>
      <w:rPr>
        <w:rFonts w:ascii="Arial, Helvetica" w:eastAsia="Arial, Helvetica" w:hAnsi="Arial, Helvetica" w:cs="Arial, Helvetica"/>
        <w:noProof/>
        <w:sz w:val="24"/>
        <w:szCs w:val="24"/>
      </w:rPr>
      <w:drawing>
        <wp:inline distT="0" distB="0" distL="0" distR="0">
          <wp:extent cx="5144040" cy="8215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44040" cy="821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02070F"/>
    <w:multiLevelType w:val="multilevel"/>
    <w:tmpl w:val="04D26E52"/>
    <w:styleLink w:val="RTFNum2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lowerLetter"/>
      <w:lvlText w:val="%4)"/>
      <w:lvlJc w:val="left"/>
      <w:pPr>
        <w:ind w:left="2880" w:hanging="720"/>
      </w:pPr>
    </w:lvl>
    <w:lvl w:ilvl="4">
      <w:start w:val="1"/>
      <w:numFmt w:val="decimal"/>
      <w:lvlText w:val="(%5)"/>
      <w:lvlJc w:val="left"/>
      <w:pPr>
        <w:ind w:left="3600" w:hanging="720"/>
      </w:pPr>
    </w:lvl>
    <w:lvl w:ilvl="5">
      <w:start w:val="1"/>
      <w:numFmt w:val="lowerLetter"/>
      <w:lvlText w:val="(%6)"/>
      <w:lvlJc w:val="left"/>
      <w:pPr>
        <w:ind w:left="4320" w:hanging="720"/>
      </w:pPr>
    </w:lvl>
    <w:lvl w:ilvl="6">
      <w:start w:val="1"/>
      <w:numFmt w:val="lowerRoman"/>
      <w:lvlText w:val="(%7)"/>
      <w:lvlJc w:val="left"/>
      <w:pPr>
        <w:ind w:left="5040" w:hanging="720"/>
      </w:pPr>
    </w:lvl>
    <w:lvl w:ilvl="7">
      <w:start w:val="1"/>
      <w:numFmt w:val="lowerLetter"/>
      <w:lvlText w:val="(%8)"/>
      <w:lvlJc w:val="left"/>
      <w:pPr>
        <w:ind w:left="5760" w:hanging="720"/>
      </w:pPr>
    </w:lvl>
    <w:lvl w:ilvl="8">
      <w:start w:val="1"/>
      <w:numFmt w:val="lowerRoman"/>
      <w:lvlText w:val="(%9)"/>
      <w:lvlJc w:val="left"/>
      <w:pPr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1931"/>
    <w:rsid w:val="00131931"/>
    <w:rsid w:val="002F2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pt-BR" w:eastAsia="pt-BR" w:bidi="pt-BR"/>
      </w:rPr>
    </w:rPrDefault>
    <w:pPrDefault>
      <w:pPr>
        <w:widowControl w:val="0"/>
        <w:suppressAutoHyphens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131931"/>
    <w:pPr>
      <w:textAlignment w:val="auto"/>
    </w:pPr>
    <w:rPr>
      <w:sz w:val="20"/>
      <w:szCs w:val="20"/>
      <w:lang w:bidi="ar-SA"/>
    </w:rPr>
  </w:style>
  <w:style w:type="paragraph" w:customStyle="1" w:styleId="Textbody">
    <w:name w:val="Text body"/>
    <w:basedOn w:val="Standard"/>
    <w:rsid w:val="00131931"/>
    <w:pPr>
      <w:spacing w:after="120"/>
    </w:pPr>
  </w:style>
  <w:style w:type="paragraph" w:customStyle="1" w:styleId="Heading">
    <w:name w:val="Heading"/>
    <w:basedOn w:val="Standard"/>
    <w:next w:val="Textbody"/>
    <w:rsid w:val="0013193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ista">
    <w:name w:val="List"/>
    <w:basedOn w:val="Textbody"/>
    <w:rsid w:val="00131931"/>
    <w:rPr>
      <w:rFonts w:ascii="Arial, Helvetica" w:eastAsia="Arial, Helvetica" w:hAnsi="Arial, Helvetica" w:cs="Arial, Helvetica"/>
      <w:sz w:val="24"/>
      <w:szCs w:val="24"/>
    </w:rPr>
  </w:style>
  <w:style w:type="paragraph" w:customStyle="1" w:styleId="Header">
    <w:name w:val="Header"/>
    <w:basedOn w:val="Standard"/>
    <w:rsid w:val="00131931"/>
    <w:pPr>
      <w:suppressLineNumbers/>
      <w:tabs>
        <w:tab w:val="center" w:pos="4252"/>
        <w:tab w:val="right" w:pos="8504"/>
      </w:tabs>
    </w:pPr>
  </w:style>
  <w:style w:type="paragraph" w:customStyle="1" w:styleId="Footer">
    <w:name w:val="Footer"/>
    <w:basedOn w:val="Standard"/>
    <w:rsid w:val="00131931"/>
    <w:pPr>
      <w:suppressLineNumbers/>
      <w:tabs>
        <w:tab w:val="center" w:pos="4252"/>
        <w:tab w:val="right" w:pos="8504"/>
      </w:tabs>
    </w:pPr>
  </w:style>
  <w:style w:type="paragraph" w:customStyle="1" w:styleId="TableContents">
    <w:name w:val="Table Contents"/>
    <w:basedOn w:val="Standard"/>
    <w:rsid w:val="00131931"/>
    <w:pPr>
      <w:suppressLineNumbers/>
    </w:pPr>
  </w:style>
  <w:style w:type="paragraph" w:customStyle="1" w:styleId="TableHeading">
    <w:name w:val="Table Heading"/>
    <w:basedOn w:val="TableContents"/>
    <w:rsid w:val="00131931"/>
    <w:pPr>
      <w:jc w:val="center"/>
    </w:pPr>
    <w:rPr>
      <w:b/>
      <w:bCs/>
    </w:rPr>
  </w:style>
  <w:style w:type="paragraph" w:customStyle="1" w:styleId="Caption">
    <w:name w:val="Caption"/>
    <w:basedOn w:val="Standard"/>
    <w:rsid w:val="00131931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Index">
    <w:name w:val="Index"/>
    <w:basedOn w:val="Standard"/>
    <w:rsid w:val="00131931"/>
    <w:pPr>
      <w:suppressLineNumbers/>
    </w:pPr>
    <w:rPr>
      <w:rFonts w:ascii="Arial" w:hAnsi="Arial" w:cs="Tahoma"/>
    </w:rPr>
  </w:style>
  <w:style w:type="paragraph" w:customStyle="1" w:styleId="Headinguser">
    <w:name w:val="Heading (user)"/>
    <w:basedOn w:val="Standard"/>
    <w:next w:val="Textbody"/>
    <w:rsid w:val="00131931"/>
    <w:pPr>
      <w:keepNext/>
      <w:spacing w:before="240" w:after="120"/>
    </w:pPr>
    <w:rPr>
      <w:rFonts w:ascii="Arial, Helvetica" w:eastAsia="MS Mincho" w:hAnsi="Arial, Helvetica" w:cs="Tahoma"/>
      <w:sz w:val="28"/>
      <w:szCs w:val="28"/>
    </w:rPr>
  </w:style>
  <w:style w:type="paragraph" w:styleId="Legenda">
    <w:name w:val="caption"/>
    <w:basedOn w:val="Standard"/>
    <w:rsid w:val="00131931"/>
    <w:pPr>
      <w:spacing w:before="120" w:after="120"/>
    </w:pPr>
    <w:rPr>
      <w:rFonts w:ascii="Arial, Helvetica" w:eastAsia="Arial, Helvetica" w:hAnsi="Arial, Helvetica" w:cs="Arial, Helvetica"/>
      <w:i/>
      <w:iCs/>
      <w:sz w:val="24"/>
      <w:szCs w:val="24"/>
    </w:rPr>
  </w:style>
  <w:style w:type="paragraph" w:customStyle="1" w:styleId="Indexuser">
    <w:name w:val="Index (user)"/>
    <w:basedOn w:val="Standard"/>
    <w:rsid w:val="00131931"/>
    <w:rPr>
      <w:rFonts w:ascii="Arial, Helvetica" w:eastAsia="Arial, Helvetica" w:hAnsi="Arial, Helvetica" w:cs="Arial, Helvetica"/>
      <w:sz w:val="24"/>
      <w:szCs w:val="24"/>
    </w:rPr>
  </w:style>
  <w:style w:type="paragraph" w:styleId="Cabealho">
    <w:name w:val="header"/>
    <w:basedOn w:val="Standard"/>
    <w:rsid w:val="00131931"/>
    <w:pPr>
      <w:tabs>
        <w:tab w:val="center" w:pos="4252"/>
        <w:tab w:val="right" w:pos="8504"/>
      </w:tabs>
    </w:pPr>
  </w:style>
  <w:style w:type="paragraph" w:styleId="Rodap">
    <w:name w:val="footer"/>
    <w:basedOn w:val="Standard"/>
    <w:rsid w:val="00131931"/>
    <w:pPr>
      <w:tabs>
        <w:tab w:val="center" w:pos="4252"/>
        <w:tab w:val="right" w:pos="8504"/>
      </w:tabs>
    </w:pPr>
  </w:style>
  <w:style w:type="paragraph" w:customStyle="1" w:styleId="TableContentsuser">
    <w:name w:val="Table Contents (user)"/>
    <w:basedOn w:val="Standard"/>
    <w:rsid w:val="00131931"/>
  </w:style>
  <w:style w:type="paragraph" w:customStyle="1" w:styleId="TableHeadinguser">
    <w:name w:val="Table Heading (user)"/>
    <w:basedOn w:val="TableContentsuser"/>
    <w:rsid w:val="00131931"/>
    <w:pPr>
      <w:jc w:val="center"/>
    </w:pPr>
    <w:rPr>
      <w:b/>
      <w:bCs/>
    </w:rPr>
  </w:style>
  <w:style w:type="character" w:customStyle="1" w:styleId="Internetlink">
    <w:name w:val="Internet link"/>
    <w:rsid w:val="00131931"/>
    <w:rPr>
      <w:color w:val="000080"/>
      <w:u w:val="single"/>
    </w:rPr>
  </w:style>
  <w:style w:type="character" w:customStyle="1" w:styleId="CorpodetextoChar">
    <w:name w:val="Corpo de texto Char"/>
    <w:basedOn w:val="Fontepargpadro"/>
    <w:rsid w:val="00131931"/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rsid w:val="00131931"/>
    <w:rPr>
      <w:rFonts w:ascii="Times New Roman" w:eastAsia="Times New Roman" w:hAnsi="Times New Roman" w:cs="Times New Roman"/>
      <w:sz w:val="24"/>
      <w:szCs w:val="24"/>
    </w:rPr>
  </w:style>
  <w:style w:type="character" w:customStyle="1" w:styleId="RodapChar">
    <w:name w:val="Rodapé Char"/>
    <w:basedOn w:val="Fontepargpadro"/>
    <w:rsid w:val="00131931"/>
    <w:rPr>
      <w:rFonts w:ascii="Times New Roman" w:eastAsia="Times New Roman" w:hAnsi="Times New Roman" w:cs="Times New Roman"/>
      <w:sz w:val="24"/>
      <w:szCs w:val="24"/>
    </w:rPr>
  </w:style>
  <w:style w:type="numbering" w:customStyle="1" w:styleId="RTFNum2">
    <w:name w:val="RTF_Num 2"/>
    <w:basedOn w:val="Semlista"/>
    <w:rsid w:val="00131931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ao@medeirosfernandesjr.ad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oao@medeirosfernandesjr.ad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624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Estação1</dc:creator>
  <cp:lastModifiedBy>Usuário do Windows</cp:lastModifiedBy>
  <cp:revision>2</cp:revision>
  <dcterms:created xsi:type="dcterms:W3CDTF">2015-03-31T17:56:00Z</dcterms:created>
  <dcterms:modified xsi:type="dcterms:W3CDTF">2015-03-31T17:56:00Z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